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bCs/>
          <w:sz w:val="28"/>
          <w:szCs w:val="28"/>
        </w:rPr>
      </w:pPr>
      <w:r>
        <w:rPr>
          <w:rFonts w:hint="eastAsia" w:ascii="仿宋_GB2312" w:hAnsi="黑体"/>
          <w:bCs/>
          <w:sz w:val="28"/>
          <w:szCs w:val="28"/>
        </w:rPr>
        <w:t>附件3</w:t>
      </w:r>
    </w:p>
    <w:p>
      <w:pPr>
        <w:jc w:val="center"/>
        <w:rPr>
          <w:rFonts w:ascii="仿宋_GB2312" w:hAnsi="华文中宋"/>
          <w:bCs/>
          <w:sz w:val="36"/>
          <w:szCs w:val="44"/>
        </w:rPr>
      </w:pPr>
    </w:p>
    <w:p>
      <w:pPr>
        <w:jc w:val="center"/>
        <w:rPr>
          <w:rFonts w:ascii="宋体" w:hAnsi="宋体" w:eastAsia="宋体" w:cs="宋体"/>
          <w:b/>
          <w:sz w:val="36"/>
          <w:szCs w:val="44"/>
        </w:rPr>
      </w:pPr>
      <w:r>
        <w:rPr>
          <w:rFonts w:hint="eastAsia" w:ascii="Arial" w:hAnsi="Arial" w:eastAsia="宋体" w:cs="Arial"/>
          <w:b/>
          <w:sz w:val="36"/>
          <w:szCs w:val="44"/>
          <w:lang w:eastAsia="zh-CN"/>
        </w:rPr>
        <w:t>广东</w:t>
      </w:r>
      <w:r>
        <w:rPr>
          <w:rFonts w:hint="eastAsia" w:ascii="Arial" w:hAnsi="Arial" w:eastAsia="宋体" w:cs="Arial"/>
          <w:b/>
          <w:sz w:val="36"/>
          <w:szCs w:val="44"/>
        </w:rPr>
        <w:t>省</w:t>
      </w:r>
      <w:r>
        <w:rPr>
          <w:rFonts w:hint="eastAsia" w:ascii="Arial" w:hAnsi="Arial" w:eastAsia="宋体" w:cs="Arial"/>
          <w:b/>
          <w:sz w:val="36"/>
          <w:szCs w:val="44"/>
          <w:lang w:eastAsia="zh-CN"/>
        </w:rPr>
        <w:t>中央政法</w:t>
      </w:r>
      <w:r>
        <w:rPr>
          <w:rFonts w:hint="eastAsia" w:ascii="宋体" w:hAnsi="宋体" w:eastAsia="宋体" w:cs="宋体"/>
          <w:b/>
          <w:sz w:val="36"/>
          <w:szCs w:val="44"/>
        </w:rPr>
        <w:t>转移支付</w:t>
      </w:r>
      <w:r>
        <w:rPr>
          <w:rFonts w:hint="eastAsia" w:ascii="Arial" w:hAnsi="Arial" w:eastAsia="宋体" w:cs="Arial"/>
          <w:b/>
          <w:sz w:val="36"/>
          <w:szCs w:val="44"/>
        </w:rPr>
        <w:t>20</w:t>
      </w:r>
      <w:r>
        <w:rPr>
          <w:rFonts w:hint="eastAsia" w:ascii="Arial" w:hAnsi="Arial" w:eastAsia="宋体" w:cs="Arial"/>
          <w:b/>
          <w:sz w:val="36"/>
          <w:szCs w:val="44"/>
          <w:lang w:val="en-US" w:eastAsia="zh-CN"/>
        </w:rPr>
        <w:t>24</w:t>
      </w:r>
      <w:r>
        <w:rPr>
          <w:rFonts w:hint="eastAsia" w:ascii="宋体" w:hAnsi="宋体" w:eastAsia="宋体" w:cs="宋体"/>
          <w:b/>
          <w:sz w:val="36"/>
          <w:szCs w:val="44"/>
        </w:rPr>
        <w:t>年度绩效自评报告</w:t>
      </w:r>
    </w:p>
    <w:p>
      <w:pPr>
        <w:jc w:val="center"/>
        <w:rPr>
          <w:rFonts w:ascii="仿宋_GB2312"/>
          <w:szCs w:val="32"/>
        </w:rPr>
      </w:pPr>
    </w:p>
    <w:p>
      <w:pPr>
        <w:ind w:firstLine="600" w:firstLineChars="200"/>
        <w:rPr>
          <w:rFonts w:ascii="黑体" w:hAnsi="黑体" w:eastAsia="黑体" w:cs="黑体"/>
          <w:bCs/>
          <w:szCs w:val="32"/>
        </w:rPr>
      </w:pPr>
      <w:r>
        <w:rPr>
          <w:rFonts w:hint="eastAsia" w:ascii="黑体" w:hAnsi="黑体" w:eastAsia="黑体" w:cs="黑体"/>
          <w:bCs/>
          <w:szCs w:val="32"/>
        </w:rPr>
        <w:t>一、绩效目标分</w:t>
      </w:r>
      <w:bookmarkStart w:id="1" w:name="_GoBack"/>
      <w:bookmarkEnd w:id="1"/>
      <w:r>
        <w:rPr>
          <w:rFonts w:hint="eastAsia" w:ascii="黑体" w:hAnsi="黑体" w:eastAsia="黑体" w:cs="黑体"/>
          <w:bCs/>
          <w:szCs w:val="32"/>
        </w:rPr>
        <w:t>解下达情况</w:t>
      </w:r>
    </w:p>
    <w:p>
      <w:pPr>
        <w:ind w:firstLine="600" w:firstLineChars="200"/>
        <w:outlineLvl w:val="0"/>
        <w:rPr>
          <w:rFonts w:ascii="仿宋_GB2312"/>
          <w:szCs w:val="32"/>
        </w:rPr>
      </w:pPr>
      <w:r>
        <w:rPr>
          <w:rFonts w:hint="eastAsia" w:ascii="仿宋_GB2312"/>
          <w:szCs w:val="32"/>
          <w:lang w:eastAsia="zh-CN"/>
        </w:rPr>
        <w:t>中央政法纪检监察转移支付资金下达预算为中央政法纪检监察转移支付资金（业务经费）</w:t>
      </w:r>
      <w:r>
        <w:rPr>
          <w:rFonts w:hint="eastAsia" w:ascii="仿宋_GB2312"/>
          <w:szCs w:val="32"/>
          <w:lang w:val="en-US" w:eastAsia="zh-CN"/>
        </w:rPr>
        <w:t>48.2</w:t>
      </w:r>
      <w:r>
        <w:rPr>
          <w:rFonts w:hint="eastAsia" w:ascii="仿宋_GB2312"/>
          <w:szCs w:val="32"/>
          <w:lang w:eastAsia="zh-CN"/>
        </w:rPr>
        <w:t>万，中央政法纪检监察转移支付资金（装备经费）下达数</w:t>
      </w:r>
      <w:r>
        <w:rPr>
          <w:rFonts w:hint="eastAsia" w:ascii="仿宋_GB2312"/>
          <w:szCs w:val="32"/>
          <w:lang w:val="en-US" w:eastAsia="zh-CN"/>
        </w:rPr>
        <w:t>5.2</w:t>
      </w:r>
      <w:r>
        <w:rPr>
          <w:rFonts w:hint="eastAsia" w:ascii="仿宋_GB2312"/>
          <w:szCs w:val="32"/>
          <w:lang w:eastAsia="zh-CN"/>
        </w:rPr>
        <w:t>万。总体绩效目标进一步提高办案业务经费保障水平装备科技信息化水平，不断提升严格规范公正文明司法能力和水平，切实肩负起维护社会大局稳定、促进社会公平正义的职责使命。</w:t>
      </w:r>
      <w:r>
        <w:rPr>
          <w:rFonts w:ascii="仿宋_GB2312"/>
          <w:szCs w:val="32"/>
        </w:rPr>
        <w:tab/>
      </w:r>
    </w:p>
    <w:p>
      <w:pPr>
        <w:ind w:firstLine="600" w:firstLineChars="200"/>
        <w:rPr>
          <w:rFonts w:ascii="黑体" w:hAnsi="黑体" w:eastAsia="黑体" w:cs="黑体"/>
          <w:bCs/>
          <w:szCs w:val="32"/>
        </w:rPr>
      </w:pPr>
      <w:r>
        <w:rPr>
          <w:rFonts w:hint="eastAsia" w:ascii="黑体" w:hAnsi="黑体" w:eastAsia="黑体" w:cs="黑体"/>
          <w:bCs/>
          <w:szCs w:val="32"/>
        </w:rPr>
        <w:t>二、绩效情况分析</w:t>
      </w:r>
    </w:p>
    <w:p>
      <w:pPr>
        <w:ind w:firstLine="600" w:firstLineChars="200"/>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（一）资金投入情况分析。</w:t>
      </w:r>
    </w:p>
    <w:p>
      <w:pPr>
        <w:ind w:firstLine="600" w:firstLineChars="200"/>
        <w:outlineLvl w:val="0"/>
        <w:rPr>
          <w:rFonts w:hint="eastAsia" w:ascii="仿宋_GB2312" w:hAnsi="仿宋_GB2312" w:cs="仿宋_GB2312"/>
          <w:b w:val="0"/>
          <w:bCs w:val="0"/>
          <w:szCs w:val="32"/>
          <w:lang w:val="en-US" w:eastAsia="zh-CN"/>
        </w:rPr>
      </w:pPr>
      <w:bookmarkStart w:id="0" w:name="OLE_LINK1"/>
      <w:r>
        <w:rPr>
          <w:rFonts w:hint="eastAsia" w:ascii="仿宋_GB2312" w:hAnsi="仿宋_GB2312" w:cs="仿宋_GB2312"/>
          <w:b w:val="0"/>
          <w:bCs w:val="0"/>
          <w:szCs w:val="32"/>
          <w:lang w:val="en-US" w:eastAsia="zh-CN"/>
        </w:rPr>
        <w:t>1、</w:t>
      </w:r>
      <w:bookmarkEnd w:id="0"/>
      <w:r>
        <w:rPr>
          <w:rFonts w:hint="eastAsia" w:ascii="仿宋_GB2312" w:hAnsi="仿宋_GB2312" w:cs="仿宋_GB2312"/>
          <w:b w:val="0"/>
          <w:bCs w:val="0"/>
          <w:szCs w:val="32"/>
          <w:lang w:val="en-US" w:eastAsia="zh-CN"/>
        </w:rPr>
        <w:t>中央政法纪检监察转移支付资金（业务经费）下达数48.2万，实际支出数48.2万，资金执行进度</w:t>
      </w:r>
      <w:r>
        <w:rPr>
          <w:rFonts w:hint="eastAsia" w:ascii="仿宋_GB2312"/>
          <w:szCs w:val="32"/>
          <w:lang w:val="en-US" w:eastAsia="zh-CN"/>
        </w:rPr>
        <w:t>100%。</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2、中央政法纪检监察转移支付资金（装备经费）下达数5.2万，实际支出数5.2万，资金执行进度100%。</w:t>
      </w:r>
    </w:p>
    <w:p>
      <w:pPr>
        <w:ind w:firstLine="602" w:firstLineChars="200"/>
        <w:outlineLvl w:val="0"/>
        <w:rPr>
          <w:rFonts w:hint="eastAsia" w:ascii="楷体_GB2312" w:hAnsi="楷体_GB2312" w:eastAsia="楷体_GB2312" w:cs="楷体_GB2312"/>
          <w:b/>
          <w:bCs/>
          <w:szCs w:val="32"/>
          <w:lang w:val="en-US" w:eastAsia="zh-CN"/>
        </w:rPr>
      </w:pPr>
      <w:r>
        <w:rPr>
          <w:rFonts w:hint="eastAsia" w:ascii="楷体_GB2312" w:hAnsi="楷体_GB2312" w:eastAsia="楷体_GB2312" w:cs="楷体_GB2312"/>
          <w:b/>
          <w:bCs/>
          <w:szCs w:val="32"/>
        </w:rPr>
        <w:t>（二）</w:t>
      </w:r>
      <w:r>
        <w:rPr>
          <w:rFonts w:hint="eastAsia" w:ascii="楷体_GB2312" w:hAnsi="楷体_GB2312" w:eastAsia="楷体_GB2312" w:cs="楷体_GB2312"/>
          <w:b/>
          <w:bCs/>
          <w:szCs w:val="32"/>
          <w:lang w:val="en-US" w:eastAsia="zh-CN"/>
        </w:rPr>
        <w:t>资金管理情况分析。</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1、资金分配：严格按照转移支付管理制度，以及资金管理办法规定的范围和标准分配资金，科学分配，合理使用。</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2、资金下达：严格按照转移支付管理制度，以及资金管理办法在年初及时下达。</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3、资金拨付：严格按照国库集中支付制度有关规定支付资金，未出现违规将资金从国库转入财政专户或支付到预算单位实有资金账户问题。</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4、使用规范：严格按照下达预算的科目和项目执行，未出现截留、挤占、挪用或擅自调整等问题。</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5、执行准确：按照上级下达和本级预算安排的金额执行，不存在执行数偏离预算数较多的问题。</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6、预算绩效管理：在细化下达预算时，同步制定绩效目标，将有关资金纳入本级预算，开展绩效监控和绩效评价。</w:t>
      </w:r>
    </w:p>
    <w:p>
      <w:pPr>
        <w:ind w:firstLine="602" w:firstLineChars="200"/>
        <w:outlineLvl w:val="0"/>
        <w:rPr>
          <w:rFonts w:hint="eastAsia" w:ascii="仿宋_GB2312" w:hAnsi="仿宋_GB2312" w:cs="仿宋_GB2312"/>
          <w:b w:val="0"/>
          <w:bCs w:val="0"/>
          <w:szCs w:val="32"/>
          <w:lang w:val="en-US" w:eastAsia="zh-CN"/>
        </w:rPr>
      </w:pPr>
      <w:r>
        <w:rPr>
          <w:rFonts w:hint="eastAsia" w:ascii="仿宋_GB2312" w:hAnsi="仿宋_GB2312" w:cs="仿宋_GB2312"/>
          <w:b w:val="0"/>
          <w:bCs w:val="0"/>
          <w:szCs w:val="32"/>
          <w:lang w:val="en-US" w:eastAsia="zh-CN"/>
        </w:rPr>
        <w:t>7、支出责任履行：对共同财政事权转移支付，按照财政事权和支出责任划分有关规定，足额安排资金履行本级支出责任。</w:t>
      </w:r>
    </w:p>
    <w:p>
      <w:pPr>
        <w:ind w:firstLine="602" w:firstLineChars="200"/>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（三）总体绩效目标完成情况分析。</w:t>
      </w:r>
    </w:p>
    <w:p>
      <w:pPr>
        <w:ind w:firstLine="600" w:firstLineChars="200"/>
        <w:outlineLvl w:val="0"/>
        <w:rPr>
          <w:rFonts w:hint="eastAsia" w:ascii="仿宋_GB2312" w:hAnsi="仿宋_GB2312" w:eastAsia="仿宋_GB2312" w:cs="仿宋_GB2312"/>
          <w:b w:val="0"/>
          <w:bCs w:val="0"/>
          <w:szCs w:val="32"/>
          <w:lang w:eastAsia="zh-CN"/>
        </w:rPr>
      </w:pPr>
      <w:r>
        <w:rPr>
          <w:rFonts w:hint="eastAsia" w:ascii="仿宋_GB2312" w:hAnsi="仿宋_GB2312" w:eastAsia="仿宋_GB2312" w:cs="仿宋_GB2312"/>
          <w:b w:val="0"/>
          <w:bCs w:val="0"/>
          <w:szCs w:val="32"/>
          <w:lang w:eastAsia="zh-CN"/>
        </w:rPr>
        <w:t>有力保障了各项检察业务的顺利开展,进一步提高了检察科技含量，完善了各类科技装备及信息化建设，更加有效提升了严格规范公正文明司法能力和水平。</w:t>
      </w:r>
    </w:p>
    <w:p>
      <w:pPr>
        <w:numPr>
          <w:ilvl w:val="0"/>
          <w:numId w:val="1"/>
        </w:numPr>
        <w:ind w:firstLine="602" w:firstLineChars="200"/>
        <w:outlineLvl w:val="0"/>
        <w:rPr>
          <w:rFonts w:hint="eastAsia" w:ascii="楷体_GB2312" w:hAnsi="楷体_GB2312" w:eastAsia="楷体_GB2312" w:cs="楷体_GB2312"/>
          <w:b/>
          <w:bCs/>
          <w:szCs w:val="32"/>
        </w:rPr>
      </w:pPr>
      <w:r>
        <w:rPr>
          <w:rFonts w:hint="eastAsia" w:ascii="楷体_GB2312" w:hAnsi="楷体_GB2312" w:eastAsia="楷体_GB2312" w:cs="楷体_GB2312"/>
          <w:b/>
          <w:bCs/>
          <w:szCs w:val="32"/>
        </w:rPr>
        <w:t>绩效指标完成情况分析。</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支出率/支出及时率：指标值100%，全年实际完成100%；</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检察业务装备验收合格率：指标值100%，全年实际完成100%；</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资金安排及时性：全年实际很好完成；</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预算执行率：指标值100%，全年实际完成100%；</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设备利用率：指标值100%，全年实际完成100%；</w:t>
      </w:r>
    </w:p>
    <w:p>
      <w:pPr>
        <w:numPr>
          <w:ilvl w:val="0"/>
          <w:numId w:val="2"/>
        </w:numPr>
        <w:ind w:firstLine="600" w:firstLineChars="200"/>
        <w:outlineLvl w:val="0"/>
        <w:rPr>
          <w:rFonts w:hint="eastAsia" w:ascii="仿宋_GB2312"/>
          <w:szCs w:val="32"/>
          <w:lang w:val="en-US" w:eastAsia="zh-CN"/>
        </w:rPr>
      </w:pPr>
      <w:r>
        <w:rPr>
          <w:rFonts w:hint="eastAsia" w:ascii="仿宋_GB2312"/>
          <w:szCs w:val="32"/>
          <w:lang w:val="en-US" w:eastAsia="zh-CN"/>
        </w:rPr>
        <w:t>提升办案经费保障水平：全年实际显著提升；</w:t>
      </w:r>
    </w:p>
    <w:p>
      <w:pPr>
        <w:numPr>
          <w:ilvl w:val="0"/>
          <w:numId w:val="0"/>
        </w:numPr>
        <w:ind w:firstLine="600" w:firstLineChars="200"/>
        <w:outlineLvl w:val="0"/>
        <w:rPr>
          <w:rFonts w:ascii="仿宋_GB2312"/>
          <w:szCs w:val="32"/>
        </w:rPr>
      </w:pPr>
      <w:r>
        <w:rPr>
          <w:rFonts w:hint="eastAsia" w:ascii="仿宋_GB2312"/>
          <w:szCs w:val="32"/>
          <w:lang w:val="en-US" w:eastAsia="zh-CN"/>
        </w:rPr>
        <w:t>7、群众满意度：指标值≧95%，全年实际95%。</w:t>
      </w:r>
    </w:p>
    <w:p>
      <w:pPr>
        <w:ind w:firstLine="600" w:firstLineChars="200"/>
        <w:rPr>
          <w:rFonts w:ascii="仿宋_GB2312"/>
          <w:szCs w:val="32"/>
        </w:rPr>
      </w:pPr>
      <w:r>
        <w:rPr>
          <w:rFonts w:hint="eastAsia" w:ascii="黑体" w:hAnsi="黑体" w:eastAsia="黑体" w:cs="黑体"/>
          <w:bCs/>
          <w:szCs w:val="32"/>
        </w:rPr>
        <w:t>三、偏离绩效目标的原因和下一步改进措施</w:t>
      </w:r>
    </w:p>
    <w:p>
      <w:pPr>
        <w:ind w:firstLine="600" w:firstLineChars="200"/>
        <w:rPr>
          <w:rFonts w:ascii="仿宋_GB2312"/>
          <w:szCs w:val="32"/>
        </w:rPr>
      </w:pPr>
      <w:r>
        <w:rPr>
          <w:rFonts w:hint="eastAsia" w:ascii="仿宋_GB2312"/>
          <w:szCs w:val="32"/>
          <w:lang w:eastAsia="zh-CN"/>
        </w:rPr>
        <w:t>我院将会按照相关规定制度科学合理的使用资金的同时，认真研究实际支出与预算间的差距，进一步提升预算的科学性、准确性。</w:t>
      </w:r>
    </w:p>
    <w:p>
      <w:pPr>
        <w:numPr>
          <w:ilvl w:val="0"/>
          <w:numId w:val="3"/>
        </w:numPr>
        <w:ind w:firstLine="600" w:firstLineChars="200"/>
        <w:rPr>
          <w:rFonts w:hint="eastAsia" w:ascii="黑体" w:hAnsi="黑体" w:eastAsia="黑体" w:cs="黑体"/>
          <w:bCs/>
          <w:szCs w:val="32"/>
        </w:rPr>
      </w:pPr>
      <w:r>
        <w:rPr>
          <w:rFonts w:hint="eastAsia" w:ascii="黑体" w:hAnsi="黑体" w:eastAsia="黑体" w:cs="黑体"/>
          <w:bCs/>
          <w:szCs w:val="32"/>
        </w:rPr>
        <w:t>绩效自评结果拟应用和公开情况</w:t>
      </w:r>
    </w:p>
    <w:p>
      <w:pPr>
        <w:ind w:firstLine="600" w:firstLineChars="200"/>
        <w:rPr>
          <w:rFonts w:hint="eastAsia" w:ascii="黑体" w:hAnsi="黑体" w:eastAsia="黑体" w:cs="黑体"/>
          <w:bCs/>
          <w:szCs w:val="32"/>
          <w:lang w:val="en-US" w:eastAsia="zh-CN"/>
        </w:rPr>
      </w:pPr>
      <w:r>
        <w:rPr>
          <w:rFonts w:hint="eastAsia" w:ascii="仿宋_GB2312"/>
          <w:szCs w:val="32"/>
          <w:lang w:val="en-US" w:eastAsia="zh-CN"/>
        </w:rPr>
        <w:t>随当年度决算一起公开。</w:t>
      </w:r>
    </w:p>
    <w:p>
      <w:pPr>
        <w:ind w:firstLine="600" w:firstLineChars="200"/>
        <w:rPr>
          <w:rFonts w:ascii="黑体" w:hAnsi="黑体" w:eastAsia="黑体" w:cs="黑体"/>
          <w:bCs/>
          <w:szCs w:val="32"/>
        </w:rPr>
      </w:pPr>
      <w:r>
        <w:rPr>
          <w:rFonts w:hint="eastAsia" w:ascii="黑体" w:hAnsi="黑体" w:eastAsia="黑体" w:cs="黑体"/>
          <w:bCs/>
          <w:szCs w:val="32"/>
        </w:rPr>
        <w:t>五、其他需要说明的问题</w:t>
      </w:r>
    </w:p>
    <w:p>
      <w:pPr>
        <w:ind w:firstLine="600" w:firstLineChars="200"/>
        <w:rPr>
          <w:rFonts w:hint="eastAsia" w:eastAsia="仿宋_GB2312"/>
          <w:lang w:eastAsia="zh-CN"/>
        </w:rPr>
      </w:pPr>
      <w:r>
        <w:rPr>
          <w:rFonts w:hint="eastAsia"/>
          <w:lang w:eastAsia="zh-CN"/>
        </w:rPr>
        <w:t>无。</w:t>
      </w:r>
    </w:p>
    <w:p>
      <w:pPr>
        <w:ind w:firstLine="600" w:firstLineChars="200"/>
        <w:rPr>
          <w:rFonts w:hint="eastAsia" w:eastAsia="黑体"/>
          <w:lang w:val="en-US" w:eastAsia="zh-CN"/>
        </w:rPr>
      </w:pPr>
      <w:r>
        <w:rPr>
          <w:rFonts w:hint="eastAsia" w:ascii="黑体" w:hAnsi="黑体" w:eastAsia="黑体" w:cs="黑体"/>
          <w:bCs/>
          <w:szCs w:val="32"/>
          <w:lang w:val="en-US" w:eastAsia="zh-CN"/>
        </w:rPr>
        <w:t>六</w:t>
      </w:r>
      <w:r>
        <w:rPr>
          <w:rFonts w:hint="eastAsia" w:ascii="黑体" w:hAnsi="黑体" w:eastAsia="黑体" w:cs="黑体"/>
          <w:bCs/>
          <w:szCs w:val="32"/>
        </w:rPr>
        <w:t>、</w:t>
      </w:r>
      <w:r>
        <w:rPr>
          <w:rFonts w:hint="eastAsia" w:ascii="黑体" w:hAnsi="黑体" w:eastAsia="黑体" w:cs="黑体"/>
          <w:bCs/>
          <w:szCs w:val="32"/>
          <w:lang w:val="en-US" w:eastAsia="zh-CN"/>
        </w:rPr>
        <w:t>附件</w:t>
      </w:r>
    </w:p>
    <w:p>
      <w:pPr>
        <w:ind w:firstLine="600" w:firstLineChars="200"/>
        <w:rPr>
          <w:rFonts w:hint="eastAsia"/>
        </w:rPr>
      </w:pPr>
      <w:r>
        <w:rPr>
          <w:rFonts w:hint="eastAsia"/>
          <w:lang w:eastAsia="zh-CN"/>
        </w:rPr>
        <w:t>中央政法</w:t>
      </w:r>
      <w:r>
        <w:rPr>
          <w:rFonts w:hint="eastAsia"/>
        </w:rPr>
        <w:t>转移支付区域（项目）绩效目标自评表</w:t>
      </w:r>
    </w:p>
    <w:p>
      <w:pPr>
        <w:ind w:firstLine="600" w:firstLineChars="200"/>
      </w:pPr>
    </w:p>
    <w:p>
      <w:pPr>
        <w:ind w:firstLine="600" w:firstLineChars="200"/>
      </w:pPr>
    </w:p>
    <w:p>
      <w:pPr>
        <w:ind w:firstLine="600" w:firstLineChars="200"/>
      </w:pPr>
    </w:p>
    <w:p>
      <w:pPr>
        <w:ind w:firstLine="600" w:firstLineChars="200"/>
        <w:jc w:val="center"/>
        <w:rPr>
          <w:rFonts w:hint="eastAsia"/>
          <w:lang w:eastAsia="zh-CN"/>
        </w:rPr>
      </w:pPr>
      <w:r>
        <w:rPr>
          <w:rFonts w:hint="eastAsia"/>
          <w:lang w:val="en-US" w:eastAsia="zh-CN"/>
        </w:rPr>
        <w:t xml:space="preserve">                                  </w:t>
      </w:r>
      <w:r>
        <w:rPr>
          <w:rFonts w:hint="eastAsia"/>
          <w:lang w:eastAsia="zh-CN"/>
        </w:rPr>
        <w:t>翁源县人民检察院</w:t>
      </w:r>
    </w:p>
    <w:p>
      <w:pPr>
        <w:ind w:firstLine="600" w:firstLineChars="200"/>
        <w:jc w:val="center"/>
        <w:rPr>
          <w:rFonts w:hint="eastAsia"/>
          <w:lang w:val="en-US" w:eastAsia="zh-CN"/>
        </w:rPr>
      </w:pPr>
      <w:r>
        <w:rPr>
          <w:rFonts w:hint="eastAsia"/>
          <w:lang w:val="en-US" w:eastAsia="zh-CN"/>
        </w:rPr>
        <w:t xml:space="preserve">                                  2025年3月4日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2D5B7"/>
    <w:multiLevelType w:val="singleLevel"/>
    <w:tmpl w:val="6242D5B7"/>
    <w:lvl w:ilvl="0" w:tentative="0">
      <w:start w:val="1"/>
      <w:numFmt w:val="decimal"/>
      <w:suff w:val="nothing"/>
      <w:lvlText w:val="%1、"/>
      <w:lvlJc w:val="left"/>
    </w:lvl>
  </w:abstractNum>
  <w:abstractNum w:abstractNumId="1">
    <w:nsid w:val="64377451"/>
    <w:multiLevelType w:val="singleLevel"/>
    <w:tmpl w:val="64377451"/>
    <w:lvl w:ilvl="0" w:tentative="0">
      <w:start w:val="4"/>
      <w:numFmt w:val="chineseCounting"/>
      <w:suff w:val="nothing"/>
      <w:lvlText w:val="（%1）"/>
      <w:lvlJc w:val="left"/>
    </w:lvl>
  </w:abstractNum>
  <w:abstractNum w:abstractNumId="2">
    <w:nsid w:val="64377A42"/>
    <w:multiLevelType w:val="singleLevel"/>
    <w:tmpl w:val="64377A42"/>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5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ZDYwZDljMzVjY2I5ODA3MTEzZDFmNGU2NDY2N2YifQ=="/>
  </w:docVars>
  <w:rsids>
    <w:rsidRoot w:val="00F57F82"/>
    <w:rsid w:val="000101E1"/>
    <w:rsid w:val="000732DA"/>
    <w:rsid w:val="00075CDC"/>
    <w:rsid w:val="000B1E8F"/>
    <w:rsid w:val="000B6964"/>
    <w:rsid w:val="00103D16"/>
    <w:rsid w:val="00111638"/>
    <w:rsid w:val="00111928"/>
    <w:rsid w:val="0012041C"/>
    <w:rsid w:val="00164D84"/>
    <w:rsid w:val="00173016"/>
    <w:rsid w:val="0017509C"/>
    <w:rsid w:val="001808CA"/>
    <w:rsid w:val="001A4E46"/>
    <w:rsid w:val="001E03FE"/>
    <w:rsid w:val="002123E8"/>
    <w:rsid w:val="00250053"/>
    <w:rsid w:val="0029569C"/>
    <w:rsid w:val="002A5FA7"/>
    <w:rsid w:val="002B3EEF"/>
    <w:rsid w:val="002B54E4"/>
    <w:rsid w:val="002E5562"/>
    <w:rsid w:val="002F6705"/>
    <w:rsid w:val="00301FC0"/>
    <w:rsid w:val="00336A16"/>
    <w:rsid w:val="003663A3"/>
    <w:rsid w:val="00387DD5"/>
    <w:rsid w:val="003B0980"/>
    <w:rsid w:val="003C6374"/>
    <w:rsid w:val="003D2CB9"/>
    <w:rsid w:val="00413F12"/>
    <w:rsid w:val="00493012"/>
    <w:rsid w:val="004D2137"/>
    <w:rsid w:val="005D1514"/>
    <w:rsid w:val="005D7CC3"/>
    <w:rsid w:val="006218A1"/>
    <w:rsid w:val="00682A10"/>
    <w:rsid w:val="006A30E4"/>
    <w:rsid w:val="006A74BF"/>
    <w:rsid w:val="006C1CEE"/>
    <w:rsid w:val="006D5A86"/>
    <w:rsid w:val="00707C2E"/>
    <w:rsid w:val="00722A7D"/>
    <w:rsid w:val="00724A6B"/>
    <w:rsid w:val="0073331B"/>
    <w:rsid w:val="00733C2D"/>
    <w:rsid w:val="00756C7F"/>
    <w:rsid w:val="007D7E6E"/>
    <w:rsid w:val="00850797"/>
    <w:rsid w:val="00853FC4"/>
    <w:rsid w:val="008720F1"/>
    <w:rsid w:val="00882EFA"/>
    <w:rsid w:val="008B2F56"/>
    <w:rsid w:val="008F0996"/>
    <w:rsid w:val="00903791"/>
    <w:rsid w:val="009600BD"/>
    <w:rsid w:val="00961C83"/>
    <w:rsid w:val="009922BC"/>
    <w:rsid w:val="009E0D8C"/>
    <w:rsid w:val="00A02AF3"/>
    <w:rsid w:val="00A25077"/>
    <w:rsid w:val="00A610CC"/>
    <w:rsid w:val="00A8737E"/>
    <w:rsid w:val="00AA19AF"/>
    <w:rsid w:val="00BC6882"/>
    <w:rsid w:val="00BD3FE0"/>
    <w:rsid w:val="00BE58CF"/>
    <w:rsid w:val="00CA5578"/>
    <w:rsid w:val="00CA7DAA"/>
    <w:rsid w:val="00D04826"/>
    <w:rsid w:val="00D63908"/>
    <w:rsid w:val="00D8718A"/>
    <w:rsid w:val="00D93453"/>
    <w:rsid w:val="00DC524D"/>
    <w:rsid w:val="00E071D6"/>
    <w:rsid w:val="00ED3E0F"/>
    <w:rsid w:val="00F015E4"/>
    <w:rsid w:val="00F57F82"/>
    <w:rsid w:val="00F75224"/>
    <w:rsid w:val="00F91EAE"/>
    <w:rsid w:val="00FA086C"/>
    <w:rsid w:val="00FA2093"/>
    <w:rsid w:val="00FA357A"/>
    <w:rsid w:val="02962229"/>
    <w:rsid w:val="037D0BC8"/>
    <w:rsid w:val="0845082D"/>
    <w:rsid w:val="09E965F2"/>
    <w:rsid w:val="0D5913D5"/>
    <w:rsid w:val="139840D3"/>
    <w:rsid w:val="143E091F"/>
    <w:rsid w:val="14865FC8"/>
    <w:rsid w:val="150C2DB0"/>
    <w:rsid w:val="1E761F05"/>
    <w:rsid w:val="1F7BE1E6"/>
    <w:rsid w:val="1FC7205C"/>
    <w:rsid w:val="228B3D05"/>
    <w:rsid w:val="284E74F8"/>
    <w:rsid w:val="2ADB48E8"/>
    <w:rsid w:val="36687282"/>
    <w:rsid w:val="38EF7AD8"/>
    <w:rsid w:val="3E1672E6"/>
    <w:rsid w:val="3EB9C2BB"/>
    <w:rsid w:val="415F08D8"/>
    <w:rsid w:val="423150D2"/>
    <w:rsid w:val="44E2230F"/>
    <w:rsid w:val="48B51347"/>
    <w:rsid w:val="491B45FA"/>
    <w:rsid w:val="4A55216A"/>
    <w:rsid w:val="4FE0696A"/>
    <w:rsid w:val="546F8569"/>
    <w:rsid w:val="55673508"/>
    <w:rsid w:val="59595A6F"/>
    <w:rsid w:val="599330CA"/>
    <w:rsid w:val="5A7FCB1F"/>
    <w:rsid w:val="5C293447"/>
    <w:rsid w:val="5FEAF7C9"/>
    <w:rsid w:val="60D5009F"/>
    <w:rsid w:val="64AC2E11"/>
    <w:rsid w:val="660721C9"/>
    <w:rsid w:val="661E6C75"/>
    <w:rsid w:val="67F75FF5"/>
    <w:rsid w:val="681D4831"/>
    <w:rsid w:val="692E4B19"/>
    <w:rsid w:val="69513EF7"/>
    <w:rsid w:val="6BF3256F"/>
    <w:rsid w:val="6CE7018A"/>
    <w:rsid w:val="6E3E3F2D"/>
    <w:rsid w:val="6FA331EE"/>
    <w:rsid w:val="715B2F02"/>
    <w:rsid w:val="76A548F2"/>
    <w:rsid w:val="7765772E"/>
    <w:rsid w:val="776F5E62"/>
    <w:rsid w:val="77867685"/>
    <w:rsid w:val="781F36B6"/>
    <w:rsid w:val="790627AD"/>
    <w:rsid w:val="7ADC59FA"/>
    <w:rsid w:val="7AFF2FC3"/>
    <w:rsid w:val="7BF6B4C5"/>
    <w:rsid w:val="7DDD794F"/>
    <w:rsid w:val="7FDE47D5"/>
    <w:rsid w:val="7FFE1143"/>
    <w:rsid w:val="94BFC172"/>
    <w:rsid w:val="9BFA614C"/>
    <w:rsid w:val="BFBF52D7"/>
    <w:rsid w:val="DF6E82F1"/>
    <w:rsid w:val="F7FBEBBF"/>
    <w:rsid w:val="FDB5389F"/>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rFonts w:eastAsia="仿宋_GB2312"/>
      <w:kern w:val="2"/>
      <w:sz w:val="18"/>
      <w:szCs w:val="18"/>
    </w:rPr>
  </w:style>
  <w:style w:type="character" w:customStyle="1" w:styleId="8">
    <w:name w:val="页眉 Char"/>
    <w:basedOn w:val="5"/>
    <w:link w:val="4"/>
    <w:qFormat/>
    <w:uiPriority w:val="0"/>
    <w:rPr>
      <w:rFonts w:eastAsia="仿宋_GB2312"/>
      <w:kern w:val="2"/>
      <w:sz w:val="18"/>
      <w:szCs w:val="18"/>
    </w:rPr>
  </w:style>
  <w:style w:type="character" w:customStyle="1" w:styleId="9">
    <w:name w:val="批注框文本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355</Words>
  <Characters>361</Characters>
  <Lines>3</Lines>
  <Paragraphs>1</Paragraphs>
  <ScaleCrop>false</ScaleCrop>
  <LinksUpToDate>false</LinksUpToDate>
  <CharactersWithSpaces>362</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2019-02-13T22:26:00Z</dcterms:created>
  <dc:creator>lhn</dc:creator>
  <cp:lastModifiedBy>wyy_tujingjing</cp:lastModifiedBy>
  <cp:lastPrinted>2021-02-03T04:58:00Z</cp:lastPrinted>
  <dcterms:modified xsi:type="dcterms:W3CDTF">2025-03-04T00:14:22Z</dcterms:modified>
  <dc:title>财政支出绩效评价报告</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y fmtid="{D5CDD505-2E9C-101B-9397-08002B2CF9AE}" pid="3" name="ICV">
    <vt:lpwstr>16D070C8E08B43A3861F92ED34F37FBF</vt:lpwstr>
  </property>
</Properties>
</file>