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both"/>
        <w:rPr>
          <w:rFonts w:hint="eastAsia"/>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2021年法治政府建设工作情况报告</w:t>
      </w:r>
    </w:p>
    <w:p>
      <w:pPr>
        <w:jc w:val="center"/>
        <w:rPr>
          <w:rFonts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eastAsia="zh-CN"/>
        </w:rPr>
      </w:pPr>
      <w:r>
        <w:rPr>
          <w:rFonts w:hint="eastAsia" w:ascii="方正仿宋_GB2312" w:hAnsi="方正仿宋_GB2312" w:eastAsia="方正仿宋_GB2312" w:cs="方正仿宋_GB2312"/>
          <w:sz w:val="32"/>
          <w:szCs w:val="32"/>
        </w:rPr>
        <w:t>20</w:t>
      </w:r>
      <w:r>
        <w:rPr>
          <w:rFonts w:hint="eastAsia" w:ascii="方正仿宋_GB2312" w:hAnsi="方正仿宋_GB2312" w:eastAsia="方正仿宋_GB2312" w:cs="方正仿宋_GB2312"/>
          <w:sz w:val="32"/>
          <w:szCs w:val="32"/>
          <w:lang w:val="en-US" w:eastAsia="zh-CN"/>
        </w:rPr>
        <w:t>21</w:t>
      </w:r>
      <w:r>
        <w:rPr>
          <w:rFonts w:hint="eastAsia" w:ascii="方正仿宋_GB2312" w:hAnsi="方正仿宋_GB2312" w:eastAsia="方正仿宋_GB2312" w:cs="方正仿宋_GB2312"/>
          <w:sz w:val="32"/>
          <w:szCs w:val="32"/>
        </w:rPr>
        <w:t>年，在县委和上级检察机关的坚强领导下，</w:t>
      </w:r>
      <w:r>
        <w:rPr>
          <w:rFonts w:hint="eastAsia" w:ascii="方正仿宋_GB2312" w:hAnsi="方正仿宋_GB2312" w:eastAsia="方正仿宋_GB2312" w:cs="方正仿宋_GB2312"/>
          <w:sz w:val="32"/>
          <w:szCs w:val="32"/>
          <w:lang w:eastAsia="zh-CN"/>
        </w:rPr>
        <w:t>我院</w:t>
      </w:r>
      <w:r>
        <w:rPr>
          <w:rFonts w:hint="eastAsia" w:ascii="方正仿宋_GB2312" w:hAnsi="方正仿宋_GB2312" w:eastAsia="方正仿宋_GB2312" w:cs="方正仿宋_GB2312"/>
          <w:color w:val="000000" w:themeColor="text1"/>
          <w:sz w:val="32"/>
          <w:szCs w:val="32"/>
          <w:lang w:bidi="ar"/>
          <w14:textFill>
            <w14:solidFill>
              <w14:schemeClr w14:val="tx1"/>
            </w14:solidFill>
          </w14:textFill>
        </w:rPr>
        <w:t>坚持以习近平新时代中国特色社会主义思想为指导</w:t>
      </w:r>
      <w:r>
        <w:rPr>
          <w:rFonts w:hint="eastAsia" w:ascii="方正仿宋_GB2312" w:hAnsi="方正仿宋_GB2312" w:eastAsia="方正仿宋_GB2312" w:cs="方正仿宋_GB2312"/>
          <w:color w:val="000000" w:themeColor="text1"/>
          <w:sz w:val="32"/>
          <w14:textFill>
            <w14:solidFill>
              <w14:schemeClr w14:val="tx1"/>
            </w14:solidFill>
          </w14:textFill>
        </w:rPr>
        <w:t>，深入学习贯彻习近平法治思想，紧扣“讲政治、顾大局、谋发展、重自强”新时代检察工作总要求</w:t>
      </w:r>
      <w:r>
        <w:rPr>
          <w:rFonts w:hint="eastAsia" w:ascii="方正仿宋_GB2312" w:hAnsi="方正仿宋_GB2312" w:eastAsia="方正仿宋_GB2312" w:cs="方正仿宋_GB2312"/>
          <w:color w:val="000000" w:themeColor="text1"/>
          <w:sz w:val="32"/>
          <w:szCs w:val="32"/>
          <w:lang w:bidi="ar"/>
          <w14:textFill>
            <w14:solidFill>
              <w14:schemeClr w14:val="tx1"/>
            </w14:solidFill>
          </w14:textFill>
        </w:rPr>
        <w:t>，聚焦“四大检察”，紧紧围绕新丰中心工作，忠实</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履行检察职责</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eastAsia="zh-CN"/>
        </w:rPr>
        <w:t>严格落实省、市、县依法行政工作要点要求，</w:t>
      </w:r>
      <w:r>
        <w:rPr>
          <w:rFonts w:hint="eastAsia" w:ascii="方正仿宋_GB2312" w:hAnsi="方正仿宋_GB2312" w:eastAsia="方正仿宋_GB2312" w:cs="方正仿宋_GB2312"/>
          <w:b w:val="0"/>
          <w:bCs w:val="0"/>
          <w:color w:val="auto"/>
          <w:sz w:val="32"/>
          <w:szCs w:val="32"/>
          <w:highlight w:val="none"/>
          <w:lang w:eastAsia="zh-CN"/>
        </w:rPr>
        <w:t>深入推进依法行政、法治政府建设，各项工作取得显著成效。现将我院</w:t>
      </w:r>
      <w:r>
        <w:rPr>
          <w:rFonts w:hint="eastAsia" w:ascii="方正仿宋_GB2312" w:hAnsi="方正仿宋_GB2312" w:eastAsia="方正仿宋_GB2312" w:cs="方正仿宋_GB2312"/>
          <w:b w:val="0"/>
          <w:bCs w:val="0"/>
          <w:color w:val="auto"/>
          <w:sz w:val="32"/>
          <w:szCs w:val="32"/>
          <w:highlight w:val="none"/>
          <w:lang w:val="en-US" w:eastAsia="zh-CN"/>
        </w:rPr>
        <w:t>2021</w:t>
      </w:r>
      <w:r>
        <w:rPr>
          <w:rFonts w:hint="eastAsia" w:ascii="方正仿宋_GB2312" w:hAnsi="方正仿宋_GB2312" w:eastAsia="方正仿宋_GB2312" w:cs="方正仿宋_GB2312"/>
          <w:b w:val="0"/>
          <w:bCs w:val="0"/>
          <w:color w:val="auto"/>
          <w:sz w:val="32"/>
          <w:szCs w:val="32"/>
          <w:highlight w:val="none"/>
          <w:lang w:eastAsia="zh-CN"/>
        </w:rPr>
        <w:t>年法治政府建设情况报告如下：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提高政治站位，深入学习贯彻习近平法治思想</w:t>
      </w:r>
    </w:p>
    <w:p>
      <w:pPr>
        <w:pStyle w:val="4"/>
        <w:keepNext w:val="0"/>
        <w:keepLines w:val="0"/>
        <w:pageBreakBefore w:val="0"/>
        <w:widowControl w:val="0"/>
        <w:numPr>
          <w:ilvl w:val="0"/>
          <w:numId w:val="0"/>
        </w:numPr>
        <w:kinsoku/>
        <w:wordWrap/>
        <w:overflowPunct/>
        <w:topLinePunct w:val="0"/>
        <w:autoSpaceDE/>
        <w:autoSpaceDN/>
        <w:bidi w:val="0"/>
        <w:snapToGrid/>
        <w:spacing w:before="37" w:line="572" w:lineRule="exact"/>
        <w:ind w:right="260" w:rightChars="0" w:firstLine="643" w:firstLineChars="200"/>
        <w:jc w:val="both"/>
        <w:textAlignment w:val="auto"/>
        <w:outlineLvl w:val="9"/>
        <w:rPr>
          <w:rFonts w:hint="eastAsia" w:ascii="方正仿宋_GB2312" w:hAnsi="方正仿宋_GB2312" w:eastAsia="方正仿宋_GB2312" w:cs="方正仿宋_GB2312"/>
          <w:color w:val="000000" w:themeColor="text1"/>
          <w:kern w:val="2"/>
          <w:sz w:val="32"/>
          <w:szCs w:val="24"/>
          <w:lang w:val="en-US" w:eastAsia="zh-CN" w:bidi="ar-SA"/>
          <w14:textFill>
            <w14:solidFill>
              <w14:schemeClr w14:val="tx1"/>
            </w14:solidFill>
          </w14:textFill>
        </w:rPr>
      </w:pPr>
      <w:r>
        <w:rPr>
          <w:rFonts w:hint="eastAsia" w:ascii="方正楷体_GB2312" w:hAnsi="方正楷体_GB2312" w:eastAsia="方正楷体_GB2312" w:cs="方正楷体_GB2312"/>
          <w:b/>
          <w:bCs/>
          <w:color w:val="auto"/>
          <w:kern w:val="2"/>
          <w:sz w:val="32"/>
          <w:szCs w:val="22"/>
          <w:lang w:val="en-US" w:eastAsia="zh-CN"/>
        </w:rPr>
        <w:t>(一）坚持把学习贯彻习近平法治思想作为本单位的头等大事和首要政治任务。</w:t>
      </w:r>
      <w:r>
        <w:rPr>
          <w:rFonts w:hint="eastAsia"/>
          <w:color w:val="auto"/>
          <w:kern w:val="2"/>
          <w:sz w:val="32"/>
          <w:szCs w:val="22"/>
          <w:lang w:val="en-US" w:eastAsia="zh-CN"/>
        </w:rPr>
        <w:t>“</w:t>
      </w:r>
      <w:r>
        <w:rPr>
          <w:rFonts w:hint="eastAsia" w:ascii="方正仿宋_GB2312" w:hAnsi="方正仿宋_GB2312" w:eastAsia="方正仿宋_GB2312" w:cs="方正仿宋_GB2312"/>
          <w:color w:val="000000" w:themeColor="text1"/>
          <w:kern w:val="2"/>
          <w:sz w:val="32"/>
          <w:szCs w:val="24"/>
          <w:lang w:val="en-US" w:eastAsia="zh-CN" w:bidi="ar-SA"/>
          <w14:textFill>
            <w14:solidFill>
              <w14:schemeClr w14:val="tx1"/>
            </w14:solidFill>
          </w14:textFill>
        </w:rPr>
        <w:t>一把手”切实履行推进法治建设第一责任人职责，将履行法治建设第一责任人职责情况列入年终述职内容，广泛开展习近平法治思想学习培训，院党组理论学习中心组专题学习近平法治思想，定期组织全体党员、干部进行系统学习和培训，以习近平法治思想为引领，不断提高法律监督能力。</w:t>
      </w:r>
    </w:p>
    <w:p>
      <w:pPr>
        <w:pStyle w:val="4"/>
        <w:keepNext w:val="0"/>
        <w:keepLines w:val="0"/>
        <w:pageBreakBefore w:val="0"/>
        <w:widowControl w:val="0"/>
        <w:numPr>
          <w:ilvl w:val="0"/>
          <w:numId w:val="0"/>
        </w:numPr>
        <w:kinsoku/>
        <w:wordWrap/>
        <w:overflowPunct/>
        <w:topLinePunct w:val="0"/>
        <w:autoSpaceDE/>
        <w:autoSpaceDN/>
        <w:bidi w:val="0"/>
        <w:snapToGrid/>
        <w:spacing w:before="37" w:line="572" w:lineRule="exact"/>
        <w:ind w:right="260" w:rightChars="0" w:firstLine="643" w:firstLineChars="200"/>
        <w:jc w:val="both"/>
        <w:textAlignment w:val="auto"/>
        <w:outlineLvl w:val="9"/>
        <w:rPr>
          <w:rFonts w:hint="eastAsia" w:ascii="方正仿宋_GB2312" w:hAnsi="方正仿宋_GB2312" w:eastAsia="方正仿宋_GB2312" w:cs="方正仿宋_GB2312"/>
          <w:color w:val="000000" w:themeColor="text1"/>
          <w:kern w:val="2"/>
          <w:sz w:val="32"/>
          <w:szCs w:val="24"/>
          <w:lang w:val="en-US" w:eastAsia="zh-CN" w:bidi="ar-SA"/>
          <w14:textFill>
            <w14:solidFill>
              <w14:schemeClr w14:val="tx1"/>
            </w14:solidFill>
          </w14:textFill>
        </w:rPr>
      </w:pPr>
      <w:r>
        <w:rPr>
          <w:rFonts w:hint="eastAsia" w:ascii="方正楷体_GB2312" w:hAnsi="方正楷体_GB2312" w:eastAsia="方正楷体_GB2312" w:cs="方正楷体_GB2312"/>
          <w:b/>
          <w:bCs/>
          <w:color w:val="auto"/>
          <w:kern w:val="2"/>
          <w:sz w:val="32"/>
          <w:szCs w:val="22"/>
          <w:lang w:val="en-US" w:eastAsia="zh-CN"/>
        </w:rPr>
        <w:t>（二）认真学习各项新修订法律法规。</w:t>
      </w:r>
      <w:r>
        <w:rPr>
          <w:rFonts w:hint="eastAsia" w:ascii="方正仿宋_GB2312" w:hAnsi="方正仿宋_GB2312" w:eastAsia="方正仿宋_GB2312" w:cs="方正仿宋_GB2312"/>
          <w:color w:val="000000" w:themeColor="text1"/>
          <w:kern w:val="2"/>
          <w:sz w:val="32"/>
          <w:szCs w:val="24"/>
          <w:lang w:val="en-US" w:eastAsia="zh-CN" w:bidi="ar-SA"/>
          <w14:textFill>
            <w14:solidFill>
              <w14:schemeClr w14:val="tx1"/>
            </w14:solidFill>
          </w14:textFill>
        </w:rPr>
        <w:t>将刑法修正案（十一）等新修订法律法规纳入检委会、干警大会学习议题，及时更新办案理念，提高干警办案能力。组织全院干警专题学习新生效民法典并开设民法典学习小课堂，推动民事检察实现高效、精准监督。</w:t>
      </w:r>
    </w:p>
    <w:p>
      <w:pPr>
        <w:pStyle w:val="4"/>
        <w:keepNext w:val="0"/>
        <w:keepLines w:val="0"/>
        <w:pageBreakBefore w:val="0"/>
        <w:widowControl w:val="0"/>
        <w:numPr>
          <w:ilvl w:val="0"/>
          <w:numId w:val="0"/>
        </w:numPr>
        <w:kinsoku/>
        <w:wordWrap/>
        <w:overflowPunct/>
        <w:topLinePunct w:val="0"/>
        <w:autoSpaceDE/>
        <w:autoSpaceDN/>
        <w:bidi w:val="0"/>
        <w:snapToGrid/>
        <w:spacing w:before="37" w:line="572" w:lineRule="exact"/>
        <w:ind w:right="260" w:rightChars="0" w:firstLine="643" w:firstLineChars="200"/>
        <w:jc w:val="both"/>
        <w:textAlignment w:val="auto"/>
        <w:outlineLvl w:val="9"/>
        <w:rPr>
          <w:rFonts w:hint="eastAsia" w:ascii="仿宋_GB2312" w:hAnsi="仿宋_GB2312" w:eastAsia="仿宋_GB2312"/>
          <w:kern w:val="2"/>
          <w:sz w:val="32"/>
          <w:szCs w:val="22"/>
          <w:lang w:val="en-US" w:eastAsia="zh-CN"/>
        </w:rPr>
      </w:pPr>
      <w:r>
        <w:rPr>
          <w:rFonts w:hint="eastAsia" w:ascii="方正楷体_GB2312" w:hAnsi="方正楷体_GB2312" w:eastAsia="方正楷体_GB2312" w:cs="方正楷体_GB2312"/>
          <w:b/>
          <w:bCs/>
          <w:color w:val="auto"/>
          <w:kern w:val="2"/>
          <w:sz w:val="32"/>
          <w:szCs w:val="22"/>
          <w:lang w:val="en-US" w:eastAsia="zh-CN"/>
        </w:rPr>
        <w:t>（三）深入开展习近平法治思想宣传工作。</w:t>
      </w:r>
      <w:r>
        <w:rPr>
          <w:rFonts w:hint="eastAsia" w:ascii="方正仿宋_GB2312" w:hAnsi="方正仿宋_GB2312" w:eastAsia="方正仿宋_GB2312" w:cs="方正仿宋_GB2312"/>
          <w:color w:val="000000" w:themeColor="text1"/>
          <w:kern w:val="2"/>
          <w:sz w:val="32"/>
          <w:szCs w:val="24"/>
          <w:lang w:val="en-US" w:eastAsia="zh-CN" w:bidi="ar-SA"/>
          <w14:textFill>
            <w14:solidFill>
              <w14:schemeClr w14:val="tx1"/>
            </w14:solidFill>
          </w14:textFill>
        </w:rPr>
        <w:t>在进校园、进社区、进企业普法工作中加强对习近平法治思想的宣传，在检察开放日活动中播放自制普法小视频，全面准确解读习近平法治思想的时代背景、历史贡献、理论特色、实践要求。</w:t>
      </w:r>
    </w:p>
    <w:p>
      <w:pPr>
        <w:rPr>
          <w:rFonts w:hint="eastAsia"/>
          <w:lang w:val="en-US" w:eastAsia="zh-CN"/>
        </w:rPr>
      </w:pPr>
    </w:p>
    <w:p>
      <w:pPr>
        <w:pStyle w:val="5"/>
        <w:numPr>
          <w:ilvl w:val="0"/>
          <w:numId w:val="1"/>
        </w:numPr>
        <w:ind w:left="0" w:leftChars="0" w:firstLine="640" w:firstLineChars="200"/>
        <w:rPr>
          <w:rFonts w:hint="eastAsia" w:ascii="黑体" w:hAnsi="黑体" w:eastAsia="黑体" w:cs="黑体"/>
          <w:b w:val="0"/>
          <w:color w:val="auto"/>
          <w:kern w:val="2"/>
          <w:sz w:val="32"/>
          <w:szCs w:val="32"/>
          <w:highlight w:val="none"/>
          <w:lang w:val="en-US" w:eastAsia="zh-CN" w:bidi="ar-SA"/>
        </w:rPr>
      </w:pPr>
      <w:r>
        <w:rPr>
          <w:rFonts w:hint="eastAsia" w:ascii="黑体" w:hAnsi="黑体" w:eastAsia="黑体" w:cs="黑体"/>
          <w:b w:val="0"/>
          <w:color w:val="auto"/>
          <w:kern w:val="2"/>
          <w:sz w:val="32"/>
          <w:szCs w:val="32"/>
          <w:highlight w:val="none"/>
          <w:lang w:val="en-US" w:eastAsia="zh-CN" w:bidi="ar-SA"/>
        </w:rPr>
        <w:t>狠抓法治政府工作要点落实，助推检察工作高质量发展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楷体_GB2312" w:hAnsi="方正楷体_GB2312" w:eastAsia="方正楷体_GB2312" w:cs="方正楷体_GB2312"/>
          <w:b/>
          <w:bCs/>
          <w:color w:val="auto"/>
          <w:kern w:val="2"/>
          <w:sz w:val="32"/>
          <w:szCs w:val="22"/>
          <w:lang w:val="en-US" w:eastAsia="zh-CN" w:bidi="ar-SA"/>
        </w:rPr>
        <w:t>（一）扎实开展检察队伍教育整顿。</w:t>
      </w:r>
      <w:r>
        <w:rPr>
          <w:rFonts w:hint="eastAsia" w:ascii="方正仿宋_GB2312" w:hAnsi="方正仿宋_GB2312" w:eastAsia="方正仿宋_GB2312" w:cs="方正仿宋_GB2312"/>
          <w:color w:val="000000" w:themeColor="text1"/>
          <w:kern w:val="2"/>
          <w:sz w:val="32"/>
          <w:szCs w:val="24"/>
          <w:lang w:val="en-US" w:eastAsia="zh-CN" w:bidi="ar-SA"/>
          <w14:textFill>
            <w14:solidFill>
              <w14:schemeClr w14:val="tx1"/>
            </w14:solidFill>
          </w14:textFill>
        </w:rPr>
        <w:t>我院组织干警参加政治教育、警示教育、英模教育62场次，参与人数1506人次。坚持开门搞整顿，及时邀请包括政协委员、案件当事人代表等7类代表共15人参加座谈会，听取代表们对加强检察队伍建设、强化检察职能作用、发挥改进检察队伍作风等方面的意见建议；认真组织干警自查，加强核查并兑现“自查从宽、被查从宽”政策，积极开展“七查”工作；立足检察职能，在优化政法机关公共服务、强化民生领域执法司法、坚持和发展新时代“枫桥经验”、推进政法领域全面深化改革等四个方面，先后推出10项便民利民措施，建立了《新丰县人民检察院关键岗位轮岗制度（试行）》等17个长效机制。聚焦检察监督工作存在的短板、弱项，强化检察监督，抓紧抓实“有案不立、压案不查、有罪不究”等问题整治，严格落实一案一清单、一案一报告，精心组织案件承办人对照自查、部门内部互查、配合上级院异地交叉评查，逐一明确时间表，真正做到问题清、底数清。通过扎实有效的教育整顿，全体干警的精气神得到显著提升,工作主动性进一步强化,常态化推进办实事、解民忧，司法为民理念得到进一步巩固。</w:t>
      </w:r>
    </w:p>
    <w:p>
      <w:pPr>
        <w:pStyle w:val="9"/>
        <w:widowControl/>
        <w:numPr>
          <w:ilvl w:val="0"/>
          <w:numId w:val="0"/>
        </w:numPr>
        <w:shd w:val="clear" w:color="auto" w:fill="FFFFFF"/>
        <w:wordWrap/>
        <w:adjustRightInd/>
        <w:snapToGrid/>
        <w:spacing w:before="0" w:beforeLines="0" w:beforeAutospacing="0" w:after="0" w:afterLines="0" w:afterAutospacing="0" w:line="240" w:lineRule="auto"/>
        <w:ind w:right="0" w:rightChars="0" w:firstLine="643" w:firstLineChars="200"/>
        <w:jc w:val="both"/>
        <w:textAlignment w:val="auto"/>
        <w:outlineLvl w:val="9"/>
        <w:rPr>
          <w:rFonts w:hint="eastAsia" w:ascii="方正仿宋_GB2312" w:hAnsi="方正仿宋_GB2312" w:eastAsia="方正仿宋_GB2312" w:cs="方正仿宋_GB2312"/>
          <w:color w:val="000000" w:themeColor="text1"/>
          <w:kern w:val="2"/>
          <w:sz w:val="32"/>
          <w:szCs w:val="24"/>
          <w:lang w:val="en-US" w:eastAsia="zh-CN" w:bidi="ar-SA"/>
          <w14:textFill>
            <w14:solidFill>
              <w14:schemeClr w14:val="tx1"/>
            </w14:solidFill>
          </w14:textFill>
        </w:rPr>
      </w:pPr>
      <w:r>
        <w:rPr>
          <w:rFonts w:hint="eastAsia" w:ascii="方正楷体_GB2312" w:hAnsi="方正楷体_GB2312" w:eastAsia="方正楷体_GB2312" w:cs="方正楷体_GB2312"/>
          <w:b/>
          <w:bCs/>
          <w:color w:val="auto"/>
          <w:kern w:val="2"/>
          <w:sz w:val="32"/>
          <w:szCs w:val="22"/>
          <w:lang w:val="en-US" w:eastAsia="zh-CN" w:bidi="ar-SA"/>
        </w:rPr>
        <w:t>（二）常态化、多样化开展法治宣传工作。</w:t>
      </w:r>
      <w:r>
        <w:rPr>
          <w:rFonts w:hint="eastAsia" w:ascii="方正仿宋_GB2312" w:hAnsi="方正仿宋_GB2312" w:eastAsia="方正仿宋_GB2312" w:cs="方正仿宋_GB2312"/>
          <w:color w:val="000000" w:themeColor="text1"/>
          <w:kern w:val="2"/>
          <w:sz w:val="32"/>
          <w:szCs w:val="24"/>
          <w:lang w:val="en-US" w:eastAsia="zh-CN" w:bidi="ar-SA"/>
          <w14:textFill>
            <w14:solidFill>
              <w14:schemeClr w14:val="tx1"/>
            </w14:solidFill>
          </w14:textFill>
        </w:rPr>
        <w:t>我院有3名检察官担任本县部分中小学的法治副校长，定期送法进校园，通过结合司法实务案例，专题授课等方式，共开展法治课6次，增强了师生的法治意识；结合“我为群众办实事”活动，积极开展普法宣传，深入各乡镇、各社区、各大广场开展扫黑除恶、创建平安新丰、全民禁毒、扫黄打非、预防电信网络诈骗等宣传30余次，发放宣传手册6000余份。通过发放宣传材料、答疑解惑、设置咨询台等形式，为群众营造了良好的尊法、学法、守法、用法的法治氛围。</w:t>
      </w:r>
    </w:p>
    <w:p>
      <w:pPr>
        <w:pStyle w:val="9"/>
        <w:keepNext w:val="0"/>
        <w:keepLines w:val="0"/>
        <w:pageBreakBefore w:val="0"/>
        <w:widowControl/>
        <w:numPr>
          <w:ilvl w:val="0"/>
          <w:numId w:val="0"/>
        </w:numPr>
        <w:suppressLineNumbers w:val="0"/>
        <w:kinsoku/>
        <w:overflowPunct/>
        <w:topLinePunct w:val="0"/>
        <w:autoSpaceDE/>
        <w:autoSpaceDN/>
        <w:bidi w:val="0"/>
        <w:snapToGrid/>
        <w:spacing w:before="0" w:beforeAutospacing="0" w:after="316" w:afterAutospacing="0"/>
        <w:ind w:right="0" w:rightChars="0" w:firstLine="643" w:firstLineChars="200"/>
        <w:textAlignment w:val="auto"/>
        <w:rPr>
          <w:rFonts w:hint="eastAsia" w:ascii="方正仿宋_GB2312" w:hAnsi="方正仿宋_GB2312" w:eastAsia="方正仿宋_GB2312" w:cs="方正仿宋_GB2312"/>
          <w:color w:val="000000" w:themeColor="text1"/>
          <w:kern w:val="2"/>
          <w:sz w:val="32"/>
          <w:szCs w:val="24"/>
          <w:lang w:val="en-US" w:eastAsia="zh-CN" w:bidi="ar-SA"/>
          <w14:textFill>
            <w14:solidFill>
              <w14:schemeClr w14:val="tx1"/>
            </w14:solidFill>
          </w14:textFill>
        </w:rPr>
      </w:pPr>
      <w:r>
        <w:rPr>
          <w:rFonts w:hint="eastAsia" w:ascii="方正楷体_GB2312" w:hAnsi="方正楷体_GB2312" w:eastAsia="方正楷体_GB2312" w:cs="方正楷体_GB2312"/>
          <w:b/>
          <w:bCs/>
          <w:color w:val="auto"/>
          <w:kern w:val="2"/>
          <w:sz w:val="32"/>
          <w:szCs w:val="22"/>
          <w:lang w:val="en-US" w:eastAsia="zh-CN" w:bidi="ar-SA"/>
        </w:rPr>
        <w:t>（三）全面落实司法责任制，突出检察官办案主体地位。</w:t>
      </w:r>
      <w:r>
        <w:rPr>
          <w:rFonts w:hint="eastAsia" w:ascii="方正仿宋_GB2312" w:hAnsi="方正仿宋_GB2312" w:eastAsia="方正仿宋_GB2312" w:cs="方正仿宋_GB2312"/>
          <w:color w:val="000000" w:themeColor="text1"/>
          <w:kern w:val="2"/>
          <w:sz w:val="32"/>
          <w:szCs w:val="24"/>
          <w:lang w:val="en-US" w:eastAsia="zh-CN" w:bidi="ar-SA"/>
          <w14:textFill>
            <w14:solidFill>
              <w14:schemeClr w14:val="tx1"/>
            </w14:solidFill>
          </w14:textFill>
        </w:rPr>
        <w:t>继续推动检察官员额管理规范化，落实检察官遴选制度，完善人员分类管理和检察人员绩效考核机制，我院今年新增3个员额检察官名额，进一步充实了检察队伍；健全检察人员司法职业保障制度，强化责权利相统一的检察人员保障机制，建立干警谈心谈话机制，落实干警伤亡抚恤制度政策，加大对干警依法履职的保护力度。</w:t>
      </w:r>
    </w:p>
    <w:p>
      <w:pPr>
        <w:pStyle w:val="9"/>
        <w:keepNext w:val="0"/>
        <w:keepLines w:val="0"/>
        <w:pageBreakBefore w:val="0"/>
        <w:widowControl/>
        <w:numPr>
          <w:ilvl w:val="0"/>
          <w:numId w:val="0"/>
        </w:numPr>
        <w:suppressLineNumbers w:val="0"/>
        <w:kinsoku/>
        <w:overflowPunct/>
        <w:topLinePunct w:val="0"/>
        <w:autoSpaceDE/>
        <w:autoSpaceDN/>
        <w:bidi w:val="0"/>
        <w:snapToGrid/>
        <w:spacing w:before="0" w:beforeAutospacing="0" w:after="316" w:afterAutospacing="0"/>
        <w:ind w:right="0" w:rightChars="0"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仿宋" w:hAnsi="仿宋" w:eastAsia="仿宋" w:cs="仿宋"/>
          <w:color w:val="auto"/>
          <w:sz w:val="32"/>
          <w:szCs w:val="32"/>
          <w:lang w:val="en-US" w:eastAsia="zh-CN"/>
        </w:rPr>
        <w:t>（</w:t>
      </w:r>
      <w:r>
        <w:rPr>
          <w:rFonts w:hint="eastAsia" w:ascii="方正楷体_GB2312" w:hAnsi="方正楷体_GB2312" w:eastAsia="方正楷体_GB2312" w:cs="方正楷体_GB2312"/>
          <w:b/>
          <w:bCs/>
          <w:color w:val="auto"/>
          <w:kern w:val="2"/>
          <w:sz w:val="32"/>
          <w:szCs w:val="22"/>
          <w:lang w:val="en-US" w:eastAsia="zh-CN" w:bidi="ar-SA"/>
        </w:rPr>
        <w:t>四）严格落实“三个规定”，严防“干预司法”行为。</w:t>
      </w:r>
      <w:r>
        <w:rPr>
          <w:rFonts w:hint="eastAsia" w:ascii="方正仿宋_GB2312" w:hAnsi="方正仿宋_GB2312" w:eastAsia="方正仿宋_GB2312" w:cs="方正仿宋_GB2312"/>
          <w:color w:val="auto"/>
          <w:sz w:val="32"/>
          <w:szCs w:val="32"/>
          <w:lang w:val="en-US" w:eastAsia="zh-CN"/>
        </w:rPr>
        <w:t>深入机关单位开展检察长“三个规定”大宣讲活动，通过引用典型案例的形式向党员干部深刻展示干预司法办案的危害。出台检察人员与律师和当事人的交往行为细则，加强与司法局沟通协调，建立健全检察人员离任后从事律师职业或者受聘于律所担任法律顾问、行政辅助人员数据库，筑牢廉洁司法屏障。</w:t>
      </w:r>
    </w:p>
    <w:p>
      <w:pPr>
        <w:pStyle w:val="9"/>
        <w:keepNext w:val="0"/>
        <w:keepLines w:val="0"/>
        <w:pageBreakBefore w:val="0"/>
        <w:widowControl/>
        <w:numPr>
          <w:ilvl w:val="0"/>
          <w:numId w:val="0"/>
        </w:numPr>
        <w:suppressLineNumbers w:val="0"/>
        <w:kinsoku/>
        <w:overflowPunct/>
        <w:topLinePunct w:val="0"/>
        <w:autoSpaceDE/>
        <w:autoSpaceDN/>
        <w:bidi w:val="0"/>
        <w:snapToGrid/>
        <w:spacing w:before="0" w:beforeAutospacing="0" w:after="316" w:afterAutospacing="0"/>
        <w:ind w:right="0" w:rightChars="0" w:firstLine="643" w:firstLineChars="200"/>
        <w:textAlignment w:val="auto"/>
        <w:rPr>
          <w:rFonts w:hint="eastAsia" w:ascii="方正仿宋_GB2312" w:hAnsi="方正仿宋_GB2312" w:eastAsia="方正仿宋_GB2312" w:cs="方正仿宋_GB2312"/>
          <w:sz w:val="32"/>
          <w:szCs w:val="32"/>
          <w:lang w:eastAsia="zh-CN"/>
        </w:rPr>
      </w:pPr>
      <w:r>
        <w:rPr>
          <w:rFonts w:hint="eastAsia" w:ascii="方正楷体_GB2312" w:hAnsi="方正楷体_GB2312" w:eastAsia="方正楷体_GB2312" w:cs="方正楷体_GB2312"/>
          <w:b/>
          <w:bCs/>
          <w:color w:val="auto"/>
          <w:kern w:val="2"/>
          <w:sz w:val="32"/>
          <w:szCs w:val="22"/>
          <w:lang w:val="en-US" w:eastAsia="zh-CN" w:bidi="ar-SA"/>
        </w:rPr>
        <w:t>（五）完善线上线下一体化矛盾化解平台应用。</w:t>
      </w:r>
      <w:r>
        <w:rPr>
          <w:rFonts w:hint="eastAsia" w:ascii="方正仿宋_GB2312" w:hAnsi="方正仿宋_GB2312" w:eastAsia="方正仿宋_GB2312" w:cs="方正仿宋_GB2312"/>
          <w:b w:val="0"/>
          <w:bCs w:val="0"/>
          <w:sz w:val="32"/>
          <w:szCs w:val="32"/>
          <w:lang w:val="en-US" w:eastAsia="zh-CN"/>
        </w:rPr>
        <w:t>制定落实便民利民服务工作措施，共六大项17小项；建成“12309检察服务中心”，为人民群众提供家门口“一站式”窗口服务；加快建设“云髻护苗”未成年人权益综合保护中心，联合妇联、公安、团委等多部门，受理侵害未成年人权益的线索，开展包括性侵、性骚扰、家庭暴力、校园欺凌等涉未成年人权益侵害及犯罪预防工作；充分保障律师权益，目前已实现律师在线阅卷功能，助力律师阅卷“零跑腿”</w:t>
      </w:r>
      <w:r>
        <w:rPr>
          <w:rFonts w:hint="eastAsia" w:ascii="方正仿宋_GB2312" w:hAnsi="方正仿宋_GB2312" w:eastAsia="方正仿宋_GB2312" w:cs="方正仿宋_GB2312"/>
          <w:sz w:val="32"/>
          <w:szCs w:val="32"/>
          <w:lang w:eastAsia="zh-CN"/>
        </w:rPr>
        <w:t>。</w:t>
      </w:r>
    </w:p>
    <w:p>
      <w:pPr>
        <w:pStyle w:val="9"/>
        <w:keepNext w:val="0"/>
        <w:keepLines w:val="0"/>
        <w:pageBreakBefore w:val="0"/>
        <w:widowControl/>
        <w:numPr>
          <w:ilvl w:val="0"/>
          <w:numId w:val="0"/>
        </w:numPr>
        <w:suppressLineNumbers w:val="0"/>
        <w:kinsoku/>
        <w:overflowPunct/>
        <w:topLinePunct w:val="0"/>
        <w:autoSpaceDE/>
        <w:autoSpaceDN/>
        <w:bidi w:val="0"/>
        <w:snapToGrid/>
        <w:spacing w:before="0" w:beforeAutospacing="0" w:after="316" w:afterAutospacing="0"/>
        <w:ind w:right="0" w:rightChars="0" w:firstLine="643" w:firstLineChars="200"/>
        <w:textAlignment w:val="auto"/>
        <w:rPr>
          <w:rFonts w:hint="eastAsia" w:ascii="方正仿宋_GBK" w:hAnsi="方正仿宋_GBK" w:eastAsia="方正仿宋_GBK" w:cs="方正仿宋_GBK"/>
          <w:b/>
          <w:bCs/>
          <w:sz w:val="32"/>
          <w:szCs w:val="32"/>
          <w:highlight w:val="yellow"/>
          <w:lang w:val="en-US" w:eastAsia="zh-CN"/>
        </w:rPr>
      </w:pPr>
      <w:r>
        <w:rPr>
          <w:rFonts w:hint="eastAsia" w:ascii="方正楷体_GB2312" w:hAnsi="方正楷体_GB2312" w:eastAsia="方正楷体_GB2312" w:cs="方正楷体_GB2312"/>
          <w:b/>
          <w:bCs/>
          <w:color w:val="auto"/>
          <w:kern w:val="2"/>
          <w:sz w:val="32"/>
          <w:szCs w:val="22"/>
          <w:lang w:val="en-US" w:eastAsia="zh-CN" w:bidi="ar-SA"/>
        </w:rPr>
        <w:t>（六）深入推进扫黑除恶，提升扫黑除恶法治化水平。</w:t>
      </w:r>
      <w:r>
        <w:rPr>
          <w:rFonts w:hint="eastAsia" w:ascii="方正仿宋_GB2312" w:hAnsi="方正仿宋_GB2312" w:eastAsia="方正仿宋_GB2312" w:cs="方正仿宋_GB2312"/>
          <w:b w:val="0"/>
          <w:bCs w:val="0"/>
          <w:sz w:val="32"/>
          <w:szCs w:val="32"/>
          <w:lang w:val="en-US" w:eastAsia="zh-CN"/>
        </w:rPr>
        <w:t>依法认定涉恶案件1件3人，大力遏制黑恶势力犯罪。</w:t>
      </w:r>
      <w:r>
        <w:rPr>
          <w:rFonts w:hint="eastAsia" w:ascii="方正仿宋_GB2312" w:hAnsi="方正仿宋_GB2312" w:eastAsia="方正仿宋_GB2312" w:cs="方正仿宋_GB2312"/>
          <w:b/>
          <w:bCs/>
          <w:sz w:val="32"/>
          <w:szCs w:val="32"/>
          <w:lang w:val="en-US" w:eastAsia="zh-CN"/>
        </w:rPr>
        <w:t>一是</w:t>
      </w:r>
      <w:r>
        <w:rPr>
          <w:rFonts w:hint="eastAsia" w:ascii="方正仿宋_GB2312" w:hAnsi="方正仿宋_GB2312" w:eastAsia="方正仿宋_GB2312" w:cs="方正仿宋_GB2312"/>
          <w:b w:val="0"/>
          <w:bCs w:val="0"/>
          <w:sz w:val="32"/>
          <w:szCs w:val="32"/>
          <w:lang w:val="en-US" w:eastAsia="zh-CN"/>
        </w:rPr>
        <w:t>强化组织领导，成立常态化扫黑除恶领导小组及办公室，党组召开扫黑除恶工作研讨会议3次进行深入分析研判。</w:t>
      </w:r>
      <w:r>
        <w:rPr>
          <w:rFonts w:hint="eastAsia" w:ascii="方正仿宋_GB2312" w:hAnsi="方正仿宋_GB2312" w:eastAsia="方正仿宋_GB2312" w:cs="方正仿宋_GB2312"/>
          <w:b/>
          <w:bCs/>
          <w:sz w:val="32"/>
          <w:szCs w:val="32"/>
          <w:lang w:val="en-US" w:eastAsia="zh-CN"/>
        </w:rPr>
        <w:t>二是</w:t>
      </w:r>
      <w:r>
        <w:rPr>
          <w:rFonts w:hint="eastAsia" w:ascii="方正仿宋_GB2312" w:hAnsi="方正仿宋_GB2312" w:eastAsia="方正仿宋_GB2312" w:cs="方正仿宋_GB2312"/>
          <w:b w:val="0"/>
          <w:bCs w:val="0"/>
          <w:sz w:val="32"/>
          <w:szCs w:val="32"/>
          <w:lang w:val="en-US" w:eastAsia="zh-CN"/>
        </w:rPr>
        <w:t>常态化开展“一案三查”，严守“是黑恶犯罪一个不放过，不是黑恶犯罪一个不凑数”的办案理念，持续保持高压打击态势。</w:t>
      </w:r>
      <w:r>
        <w:rPr>
          <w:rFonts w:hint="eastAsia" w:ascii="方正仿宋_GB2312" w:hAnsi="方正仿宋_GB2312" w:eastAsia="方正仿宋_GB2312" w:cs="方正仿宋_GB2312"/>
          <w:b/>
          <w:bCs/>
          <w:sz w:val="32"/>
          <w:szCs w:val="32"/>
          <w:lang w:val="en-US" w:eastAsia="zh-CN"/>
        </w:rPr>
        <w:t>三是</w:t>
      </w:r>
      <w:r>
        <w:rPr>
          <w:rFonts w:hint="eastAsia" w:ascii="方正仿宋_GB2312" w:hAnsi="方正仿宋_GB2312" w:eastAsia="方正仿宋_GB2312" w:cs="方正仿宋_GB2312"/>
          <w:b w:val="0"/>
          <w:bCs w:val="0"/>
          <w:sz w:val="32"/>
          <w:szCs w:val="32"/>
          <w:lang w:val="en-US" w:eastAsia="zh-CN"/>
        </w:rPr>
        <w:t>扎实推进“六清行动”，做到案件清结。</w:t>
      </w:r>
      <w:r>
        <w:rPr>
          <w:rFonts w:hint="eastAsia" w:ascii="方正仿宋_GB2312" w:hAnsi="方正仿宋_GB2312" w:eastAsia="方正仿宋_GB2312" w:cs="方正仿宋_GB2312"/>
          <w:b/>
          <w:bCs/>
          <w:sz w:val="32"/>
          <w:szCs w:val="32"/>
          <w:lang w:val="en-US" w:eastAsia="zh-CN"/>
        </w:rPr>
        <w:t>四是</w:t>
      </w:r>
      <w:r>
        <w:rPr>
          <w:rFonts w:hint="eastAsia" w:ascii="方正仿宋_GB2312" w:hAnsi="方正仿宋_GB2312" w:eastAsia="方正仿宋_GB2312" w:cs="方正仿宋_GB2312"/>
          <w:b w:val="0"/>
          <w:bCs w:val="0"/>
          <w:sz w:val="32"/>
          <w:szCs w:val="32"/>
          <w:lang w:val="en-US" w:eastAsia="zh-CN"/>
        </w:rPr>
        <w:t>坚持打早打小，在严打深挖上持续发力，对多发领域、重点领域的倾向性、苗头性黑恶势力问题坚持露头就打，防止其坐大成势。</w:t>
      </w:r>
      <w:r>
        <w:rPr>
          <w:rFonts w:hint="eastAsia" w:ascii="方正仿宋_GB2312" w:hAnsi="方正仿宋_GB2312" w:eastAsia="方正仿宋_GB2312" w:cs="方正仿宋_GB2312"/>
          <w:b/>
          <w:bCs/>
          <w:sz w:val="32"/>
          <w:szCs w:val="32"/>
          <w:lang w:val="en-US" w:eastAsia="zh-CN"/>
        </w:rPr>
        <w:t>五是</w:t>
      </w:r>
      <w:r>
        <w:rPr>
          <w:rFonts w:hint="eastAsia" w:ascii="方正仿宋_GB2312" w:hAnsi="方正仿宋_GB2312" w:eastAsia="方正仿宋_GB2312" w:cs="方正仿宋_GB2312"/>
          <w:b w:val="0"/>
          <w:bCs w:val="0"/>
          <w:sz w:val="32"/>
          <w:szCs w:val="32"/>
          <w:lang w:val="en-US" w:eastAsia="zh-CN"/>
        </w:rPr>
        <w:t>注重引导侦查机关加大对涉案财产的侦查和查处力度，从经济基础出发铲除涉黑恶组织。建立涉黑恶案件财产刑执行档案，依托检察机关办案系统，建立专门统计台账，做到案件清、底数明。</w:t>
      </w:r>
      <w:r>
        <w:rPr>
          <w:rFonts w:hint="eastAsia" w:ascii="方正仿宋_GB2312" w:hAnsi="方正仿宋_GB2312" w:eastAsia="方正仿宋_GB2312" w:cs="方正仿宋_GB2312"/>
          <w:b/>
          <w:bCs/>
          <w:sz w:val="32"/>
          <w:szCs w:val="32"/>
          <w:lang w:val="en-US" w:eastAsia="zh-CN"/>
        </w:rPr>
        <w:t>六是</w:t>
      </w:r>
      <w:r>
        <w:rPr>
          <w:rFonts w:hint="eastAsia" w:ascii="方正仿宋_GB2312" w:hAnsi="方正仿宋_GB2312" w:eastAsia="方正仿宋_GB2312" w:cs="方正仿宋_GB2312"/>
          <w:b w:val="0"/>
          <w:bCs w:val="0"/>
          <w:sz w:val="32"/>
          <w:szCs w:val="32"/>
          <w:lang w:val="en-US" w:eastAsia="zh-CN"/>
        </w:rPr>
        <w:t>加强公检法间的沟通协作，强化打击合力，牵头公安、法院召开联席会议，针对办理案件中证据收集、完善、固定，以及查封、扣押涉黑恶犯罪的财产甄别、入库等问题进行深入探讨。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2312" w:hAnsi="方正仿宋_GB2312" w:eastAsia="方正仿宋_GB2312" w:cs="方正仿宋_GB2312"/>
          <w:b w:val="0"/>
          <w:bCs w:val="0"/>
          <w:kern w:val="0"/>
          <w:sz w:val="32"/>
          <w:szCs w:val="32"/>
          <w:lang w:val="en-US" w:eastAsia="zh-CN" w:bidi="ar"/>
        </w:rPr>
      </w:pPr>
      <w:r>
        <w:rPr>
          <w:rFonts w:hint="eastAsia" w:ascii="方正楷体_GB2312" w:hAnsi="方正楷体_GB2312" w:eastAsia="方正楷体_GB2312" w:cs="方正楷体_GB2312"/>
          <w:b/>
          <w:bCs/>
          <w:color w:val="auto"/>
          <w:kern w:val="2"/>
          <w:sz w:val="32"/>
          <w:szCs w:val="22"/>
          <w:lang w:val="en-US" w:eastAsia="zh-CN" w:bidi="ar-SA"/>
        </w:rPr>
        <w:t>（七）从严打击群众反映强烈的危害社会治安犯罪。</w:t>
      </w:r>
      <w:r>
        <w:rPr>
          <w:rFonts w:hint="eastAsia" w:ascii="方正仿宋_GB2312" w:hAnsi="方正仿宋_GB2312" w:eastAsia="方正仿宋_GB2312" w:cs="方正仿宋_GB2312"/>
          <w:b w:val="0"/>
          <w:bCs w:val="0"/>
          <w:kern w:val="0"/>
          <w:sz w:val="32"/>
          <w:szCs w:val="32"/>
          <w:lang w:val="en-US" w:eastAsia="zh-CN" w:bidi="ar"/>
        </w:rPr>
        <w:t>重点打击暴力犯罪、多发性侵犯财产犯罪等犯罪。依法起诉故意杀人罪案件1件1人,起诉故意伤害犯罪案件19件21人，两抢一盗案件24件42人，案件数量与去年相比有所下降，社会治安秩序稳定向好。通过批捕、起诉等工作，善于发现社会治安防控体系建设中的漏洞。及时提出检察建议，督促有关单位健全规章制度，完善工作机制，影响群众安全感的多发性案件和公共安全事故得到有效防范，人民群众安全感和满意度明显提升。</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158" w:rightChars="-75" w:firstLine="643" w:firstLineChars="200"/>
        <w:textAlignment w:val="auto"/>
        <w:rPr>
          <w:rFonts w:hint="eastAsia" w:ascii="方正仿宋_GB2312" w:hAnsi="方正仿宋_GB2312" w:eastAsia="方正仿宋_GB2312" w:cs="方正仿宋_GB2312"/>
          <w:b w:val="0"/>
          <w:bCs w:val="0"/>
          <w:kern w:val="0"/>
          <w:sz w:val="32"/>
          <w:szCs w:val="32"/>
          <w:lang w:val="en-US" w:eastAsia="zh-CN" w:bidi="ar"/>
        </w:rPr>
      </w:pPr>
      <w:r>
        <w:rPr>
          <w:rFonts w:hint="eastAsia" w:ascii="方正楷体_GB2312" w:hAnsi="方正楷体_GB2312" w:eastAsia="方正楷体_GB2312" w:cs="方正楷体_GB2312"/>
          <w:b/>
          <w:bCs/>
          <w:color w:val="auto"/>
          <w:kern w:val="2"/>
          <w:sz w:val="32"/>
          <w:szCs w:val="22"/>
          <w:lang w:val="en-US" w:eastAsia="zh-CN" w:bidi="ar-SA"/>
        </w:rPr>
        <w:t>（八）严格减刑、假释、暂予监外执行监督。</w:t>
      </w:r>
      <w:r>
        <w:rPr>
          <w:rFonts w:hint="eastAsia" w:ascii="方正仿宋_GB2312" w:hAnsi="方正仿宋_GB2312" w:eastAsia="方正仿宋_GB2312" w:cs="方正仿宋_GB2312"/>
          <w:b w:val="0"/>
          <w:bCs w:val="0"/>
          <w:kern w:val="0"/>
          <w:sz w:val="32"/>
          <w:szCs w:val="32"/>
          <w:lang w:val="en-US" w:eastAsia="zh-CN" w:bidi="ar"/>
        </w:rPr>
        <w:t>对上世纪90年代以来我县办理的所有减刑、假释、暂予监外执行案件开展全面排查，完成查摆减刑案件188件、假释案件2件、暂予监外执行案件93件，合计283件。就案件办理单位办案不规范问题发出监督意见书73份，被监督单位均已采纳；紧盯监管场所疫情防范，维护监所秩序稳定。加强与看守所的协调配合，确保疫情严控期间各项驻所检察工作落实到位，共开展安全防范检察12次，与在押人员开展谈话教育68人次，参加狱情分析会13次，把保障在押人员合法权益作为监督重点，积极落实在押人员约见检察官制度。</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158" w:rightChars="-75" w:firstLine="643" w:firstLineChars="200"/>
        <w:textAlignment w:val="auto"/>
        <w:rPr>
          <w:rFonts w:hint="eastAsia" w:ascii="方正仿宋_GB2312" w:hAnsi="方正仿宋_GB2312" w:eastAsia="方正仿宋_GB2312" w:cs="方正仿宋_GB2312"/>
          <w:b w:val="0"/>
          <w:bCs w:val="0"/>
          <w:kern w:val="0"/>
          <w:sz w:val="32"/>
          <w:szCs w:val="32"/>
          <w:lang w:val="en-US" w:eastAsia="zh-CN" w:bidi="ar"/>
        </w:rPr>
      </w:pPr>
      <w:r>
        <w:rPr>
          <w:rFonts w:hint="eastAsia" w:ascii="方正楷体_GB2312" w:hAnsi="方正楷体_GB2312" w:eastAsia="方正楷体_GB2312" w:cs="方正楷体_GB2312"/>
          <w:b/>
          <w:bCs/>
          <w:color w:val="auto"/>
          <w:kern w:val="2"/>
          <w:sz w:val="32"/>
          <w:szCs w:val="22"/>
          <w:lang w:val="en-US" w:eastAsia="zh-CN" w:bidi="ar-SA"/>
        </w:rPr>
        <w:t>（九）快速办理涉疫情犯罪，助力疫情防控。</w:t>
      </w:r>
      <w:r>
        <w:rPr>
          <w:rFonts w:hint="eastAsia" w:ascii="方正仿宋_GB2312" w:hAnsi="方正仿宋_GB2312" w:eastAsia="方正仿宋_GB2312" w:cs="方正仿宋_GB2312"/>
          <w:b w:val="0"/>
          <w:bCs w:val="0"/>
          <w:kern w:val="0"/>
          <w:sz w:val="32"/>
          <w:szCs w:val="32"/>
          <w:lang w:val="en-US" w:eastAsia="zh-CN" w:bidi="ar"/>
        </w:rPr>
        <w:t>共办理涉疫情案件1件1人。严格按照《关于依法惩治妨害新冠病毒疫情防控犯罪量刑建议和量刑工作的指导意见》办理案件，对涉疫情犯罪案件从严打击。如依法办理了叶某东非法狩猎案，承办人加班加点核实审查证据，在7日内依法快速审结案件，以非法狩猎罪对叶某东提起公诉，取得了良好的社会效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158" w:rightChars="-75" w:firstLine="643" w:firstLineChars="200"/>
        <w:textAlignment w:val="auto"/>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pPr>
      <w:r>
        <w:rPr>
          <w:rFonts w:hint="eastAsia" w:ascii="方正楷体_GB2312" w:hAnsi="方正楷体_GB2312" w:eastAsia="方正楷体_GB2312" w:cs="方正楷体_GB2312"/>
          <w:b/>
          <w:bCs/>
          <w:color w:val="auto"/>
          <w:kern w:val="2"/>
          <w:sz w:val="32"/>
          <w:szCs w:val="22"/>
          <w:lang w:val="en-US" w:eastAsia="zh-CN" w:bidi="ar-SA"/>
        </w:rPr>
        <w:t>（十）积极服务“六稳六保”，保护企业合法权益。</w:t>
      </w:r>
      <w:r>
        <w:rPr>
          <w:rFonts w:hint="eastAsia" w:ascii="方正仿宋_GBK" w:hAnsi="方正仿宋_GBK" w:eastAsia="方正仿宋_GBK" w:cs="方正仿宋_GBK"/>
          <w:b w:val="0"/>
          <w:bCs w:val="0"/>
          <w:color w:val="000000"/>
          <w:kern w:val="2"/>
          <w:sz w:val="32"/>
          <w:szCs w:val="32"/>
          <w:lang w:val="en-US" w:eastAsia="zh-CN" w:bidi="ar-SA"/>
        </w:rPr>
        <w:t>依法快速开展涉民营企业刑事诉讼“挂案”专项清理工作，我院通过与县公安局沟通并及时召开会议，迅速摸清底数，快速清理涉民营企业刑事诉讼“挂案”，依法开展立案监督，发出要求公安机关说明立案理由通知书10份，公安机关已对以上案件作出撤销案件处理。截至8月底，涉民营企业刑事诉讼“挂案”全部清理完毕，消除了不当刑事立案对民营企业经营的影响，充分发挥护航民营企业健康发展作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158" w:rightChars="-75" w:firstLine="643" w:firstLineChars="200"/>
        <w:textAlignment w:val="auto"/>
        <w:rPr>
          <w:rFonts w:hint="eastAsia"/>
          <w:lang w:val="en-US" w:eastAsia="zh-CN"/>
        </w:rPr>
      </w:pPr>
      <w:r>
        <w:rPr>
          <w:rFonts w:hint="eastAsia" w:ascii="方正楷体_GB2312" w:hAnsi="方正楷体_GB2312" w:eastAsia="方正楷体_GB2312" w:cs="方正楷体_GB2312"/>
          <w:b/>
          <w:bCs/>
          <w:color w:val="auto"/>
          <w:kern w:val="2"/>
          <w:sz w:val="32"/>
          <w:szCs w:val="22"/>
          <w:lang w:val="en-US" w:eastAsia="zh-CN" w:bidi="ar-SA"/>
        </w:rPr>
        <w:t>（十一）做好公益诉讼，增进民生福祉。</w:t>
      </w:r>
      <w:r>
        <w:rPr>
          <w:rFonts w:hint="eastAsia" w:ascii="方正仿宋_GBK" w:hAnsi="方正仿宋_GBK" w:eastAsia="方正仿宋_GBK" w:cs="方正仿宋_GBK"/>
          <w:b w:val="0"/>
          <w:bCs w:val="0"/>
          <w:color w:val="000000"/>
          <w:kern w:val="2"/>
          <w:sz w:val="32"/>
          <w:szCs w:val="32"/>
          <w:lang w:val="en-US" w:eastAsia="zh-CN" w:bidi="ar-SA"/>
        </w:rPr>
        <w:t>重点办理生态环境和资源保护领域公益诉讼案件，如办理潘某中等6人非法采矿刑事附带民事公益诉讼案，潘某中等人非法采矿的行为对沙田镇缠良村的生态环境造成了很大的破坏，我院诉请法院判令潘某中等6人连带承担生态修复费用110919元以及矿产资源损失817万元，后法院判决支持我院全部诉讼请求；扎实推进食品药品领域公益诉讼工作。我院在履行公益诉讼职责中发现，曾某容在明知违法的情况下，仍在其经营的小食店“天下第一粉”使用违禁品罂粟壳以增加“回头客”，我院向法院提起刑事附带民事公益诉讼，后曾某容被判决要求其支付惩罚性赔偿款109501.6元，该惩罚性赔偿款已经上缴至公益诉讼账户；积极办理英烈权益保护领域公益诉讼案件，共立案6件，以实际行动保护革命文物。我院联合县退役军人事务局走访了辖区内赵有兴、郭祥等十几座英雄烈士纪念设施，发现存在红色革命遗址维护不善、历史文化价值流失等问题。通过制发6份诉前检察建议，督促相关部门开展公益诉讼“回头看”，英雄纪念设施整修一新，红色精神更放光芒。</w:t>
      </w:r>
      <w:r>
        <w:rPr>
          <w:rFonts w:hint="eastAsia" w:ascii="方正仿宋_GB2312" w:hAnsi="方正仿宋_GB2312" w:eastAsia="方正仿宋_GB2312" w:cs="方正仿宋_GB2312"/>
          <w:b w:val="0"/>
          <w:bCs w:val="0"/>
          <w:sz w:val="32"/>
          <w:szCs w:val="32"/>
          <w:lang w:val="en-US" w:eastAsia="zh-CN"/>
        </w:rPr>
        <w:t>为进一步延伸公益诉讼触角，</w:t>
      </w:r>
      <w:r>
        <w:rPr>
          <w:rFonts w:hint="eastAsia" w:ascii="方正仿宋_GB2312" w:hAnsi="方正仿宋_GB2312" w:eastAsia="方正仿宋_GB2312" w:cs="方正仿宋_GB2312"/>
          <w:sz w:val="32"/>
          <w:szCs w:val="32"/>
        </w:rPr>
        <w:t>我院正在向省申请将派驻梅坑检察室调整为公益诉讼检察工作室</w:t>
      </w:r>
      <w:r>
        <w:rPr>
          <w:rFonts w:hint="eastAsia" w:ascii="方正仿宋_GB2312" w:hAnsi="方正仿宋_GB2312" w:eastAsia="方正仿宋_GB2312" w:cs="方正仿宋_GB2312"/>
          <w:sz w:val="32"/>
          <w:szCs w:val="32"/>
          <w:lang w:eastAsia="zh-CN"/>
        </w:rPr>
        <w:t>，进一步强化对公众利益的保护力度。</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158" w:rightChars="-75" w:firstLine="643" w:firstLineChars="200"/>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楷体_GB2312" w:hAnsi="方正楷体_GB2312" w:eastAsia="方正楷体_GB2312" w:cs="方正楷体_GB2312"/>
          <w:b/>
          <w:bCs/>
          <w:color w:val="auto"/>
          <w:kern w:val="2"/>
          <w:sz w:val="32"/>
          <w:szCs w:val="22"/>
          <w:lang w:val="en-US" w:eastAsia="zh-CN" w:bidi="ar-SA"/>
        </w:rPr>
        <w:t>（十二）进一步完善刑事诉讼涉案财物管理。</w:t>
      </w:r>
      <w:r>
        <w:rPr>
          <w:rFonts w:hint="eastAsia" w:ascii="方正仿宋_GBK" w:hAnsi="方正仿宋_GBK" w:eastAsia="方正仿宋_GBK" w:cs="方正仿宋_GBK"/>
          <w:b w:val="0"/>
          <w:bCs w:val="0"/>
          <w:color w:val="000000"/>
          <w:kern w:val="2"/>
          <w:sz w:val="32"/>
          <w:szCs w:val="32"/>
          <w:lang w:val="en-US" w:eastAsia="zh-CN" w:bidi="ar-SA"/>
        </w:rPr>
        <w:t>深刻认识依法规范管理涉案财物对案件办理的重大意义，切实提高政治站位，强化涉案财物管理，加强沟通协作配合，健全完善长效机制，确保涉案财物管理工作操作规范有序、流转顺畅高效、处置合法及时。将其作为党史学习教育活动“检察为民办实事”的实招、真招。成立工作小组，切实承担领导责任，各成员积极履职、主动担当，严格依法清查、审核，确保清理处置到位；制定工作计划，严格落实责任。将涉案财物清理处置作为检察队伍教育整顿重要任务来部署安排，按照上级院工作方案，结合工作实际，制定《涉案财物专项清理处置工作计划》，明确任务分工、时间进度、标准要求，确保工作高效完成；勇担各自责任，密切协作配合。按照工作计划，各部门加强沟通协调配合，形成工作合力，及时交流处置工作开展情况及遇到的问题，共同研究解决遇到的难题，确保工作涉案财物日常管理扎实、高效、规范。</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三、存在问题及下一步工作计划</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158" w:rightChars="-75" w:firstLine="640" w:firstLineChars="200"/>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2021年以来，我院各项工作扎实有序开展，取得了较好成效，但是，检察工作中还存在差距和不足：</w:t>
      </w:r>
      <w:r>
        <w:rPr>
          <w:rFonts w:hint="eastAsia" w:ascii="方正仿宋_GBK" w:hAnsi="方正仿宋_GBK" w:eastAsia="方正仿宋_GBK" w:cs="方正仿宋_GBK"/>
          <w:b/>
          <w:bCs/>
          <w:color w:val="000000"/>
          <w:kern w:val="2"/>
          <w:sz w:val="32"/>
          <w:szCs w:val="32"/>
          <w:lang w:val="en-US" w:eastAsia="zh-CN" w:bidi="ar-SA"/>
        </w:rPr>
        <w:t>一是</w:t>
      </w:r>
      <w:r>
        <w:rPr>
          <w:rFonts w:hint="eastAsia" w:ascii="方正仿宋_GBK" w:hAnsi="方正仿宋_GBK" w:eastAsia="方正仿宋_GBK" w:cs="方正仿宋_GBK"/>
          <w:b w:val="0"/>
          <w:bCs w:val="0"/>
          <w:color w:val="000000"/>
          <w:kern w:val="2"/>
          <w:sz w:val="32"/>
          <w:szCs w:val="32"/>
          <w:lang w:val="en-US" w:eastAsia="zh-CN" w:bidi="ar-SA"/>
        </w:rPr>
        <w:t>检察监督力度和人民群众的司法需求还不相适应，监督刚性需要进一步提升；</w:t>
      </w:r>
      <w:r>
        <w:rPr>
          <w:rFonts w:hint="eastAsia" w:ascii="方正仿宋_GBK" w:hAnsi="方正仿宋_GBK" w:eastAsia="方正仿宋_GBK" w:cs="方正仿宋_GBK"/>
          <w:b/>
          <w:bCs/>
          <w:color w:val="000000"/>
          <w:kern w:val="2"/>
          <w:sz w:val="32"/>
          <w:szCs w:val="32"/>
          <w:lang w:val="en-US" w:eastAsia="zh-CN" w:bidi="ar-SA"/>
        </w:rPr>
        <w:t>二是</w:t>
      </w:r>
      <w:r>
        <w:rPr>
          <w:rFonts w:hint="eastAsia" w:ascii="方正仿宋_GBK" w:hAnsi="方正仿宋_GBK" w:eastAsia="方正仿宋_GBK" w:cs="方正仿宋_GBK"/>
          <w:b w:val="0"/>
          <w:bCs w:val="0"/>
          <w:color w:val="000000"/>
          <w:kern w:val="2"/>
          <w:sz w:val="32"/>
          <w:szCs w:val="32"/>
          <w:lang w:val="en-US" w:eastAsia="zh-CN" w:bidi="ar-SA"/>
        </w:rPr>
        <w:t>检察宣传的力度和实效还需进一步强化；</w:t>
      </w:r>
      <w:r>
        <w:rPr>
          <w:rFonts w:hint="eastAsia" w:ascii="方正仿宋_GBK" w:hAnsi="方正仿宋_GBK" w:eastAsia="方正仿宋_GBK" w:cs="方正仿宋_GBK"/>
          <w:b/>
          <w:bCs/>
          <w:color w:val="000000"/>
          <w:kern w:val="2"/>
          <w:sz w:val="32"/>
          <w:szCs w:val="32"/>
          <w:lang w:val="en-US" w:eastAsia="zh-CN" w:bidi="ar-SA"/>
        </w:rPr>
        <w:t>三是</w:t>
      </w:r>
      <w:r>
        <w:rPr>
          <w:rFonts w:hint="eastAsia" w:ascii="方正仿宋_GBK" w:hAnsi="方正仿宋_GBK" w:eastAsia="方正仿宋_GBK" w:cs="方正仿宋_GBK"/>
          <w:b w:val="0"/>
          <w:bCs w:val="0"/>
          <w:color w:val="000000"/>
          <w:kern w:val="2"/>
          <w:sz w:val="32"/>
          <w:szCs w:val="32"/>
          <w:lang w:val="en-US" w:eastAsia="zh-CN" w:bidi="ar-SA"/>
        </w:rPr>
        <w:t>全体干警需加强学习，及时更新新时代检察理念。对这些问题，我们将依托各方的支持和帮助，凝聚全体干警的力量，切实解决问题。重点抓好以下工作：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下一步，我院将坚持以习近平法治思想为指导</w:t>
      </w:r>
      <w:r>
        <w:rPr>
          <w:rFonts w:hint="eastAsia" w:ascii="方正仿宋_GBK" w:hAnsi="方正仿宋_GBK" w:eastAsia="方正仿宋_GBK" w:cs="方正仿宋_GBK"/>
          <w:b w:val="0"/>
          <w:bCs w:val="0"/>
          <w:color w:val="auto"/>
          <w:kern w:val="2"/>
          <w:sz w:val="32"/>
          <w:szCs w:val="32"/>
          <w:lang w:val="en-US" w:eastAsia="zh-CN" w:bidi="ar-SA"/>
        </w:rPr>
        <w:t>，</w:t>
      </w:r>
      <w:r>
        <w:rPr>
          <w:rFonts w:hint="eastAsia" w:ascii="方正仿宋_GBK" w:hAnsi="方正仿宋_GBK" w:eastAsia="方正仿宋_GBK" w:cs="方正仿宋_GBK"/>
          <w:color w:val="auto"/>
          <w:sz w:val="32"/>
          <w:szCs w:val="32"/>
          <w:lang w:val="en-US" w:eastAsia="zh-CN"/>
        </w:rPr>
        <w:t>狠抓《中共中央关于加强新时代检察机关法律监督工作的意见》落地见效，</w:t>
      </w:r>
      <w:r>
        <w:rPr>
          <w:rFonts w:hint="eastAsia" w:ascii="方正仿宋_GBK" w:hAnsi="方正仿宋_GBK" w:eastAsia="方正仿宋_GBK" w:cs="方正仿宋_GBK"/>
          <w:b w:val="0"/>
          <w:bCs w:val="0"/>
          <w:color w:val="000000"/>
          <w:kern w:val="2"/>
          <w:sz w:val="32"/>
          <w:szCs w:val="32"/>
          <w:lang w:val="en-US" w:eastAsia="zh-CN" w:bidi="ar-SA"/>
        </w:rPr>
        <w:t>以求极致的态度做好新时代“四大检察”各项工作，坚持以人民为中心，为我县经济社会高质量发展贡献检察智慧和力量。</w:t>
      </w:r>
    </w:p>
    <w:p>
      <w:pPr>
        <w:keepNext w:val="0"/>
        <w:keepLines w:val="0"/>
        <w:pageBreakBefore w:val="0"/>
        <w:widowControl w:val="0"/>
        <w:kinsoku/>
        <w:wordWrap/>
        <w:overflowPunct/>
        <w:topLinePunct w:val="0"/>
        <w:autoSpaceDE/>
        <w:autoSpaceDN/>
        <w:bidi w:val="0"/>
        <w:adjustRightInd w:val="0"/>
        <w:snapToGrid/>
        <w:spacing w:line="240" w:lineRule="auto"/>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一是</w:t>
      </w:r>
      <w:r>
        <w:rPr>
          <w:rFonts w:hint="eastAsia" w:ascii="仿宋" w:hAnsi="仿宋" w:eastAsia="仿宋" w:cs="仿宋"/>
          <w:color w:val="auto"/>
          <w:sz w:val="32"/>
          <w:szCs w:val="32"/>
          <w:lang w:val="en-US" w:eastAsia="zh-CN"/>
        </w:rPr>
        <w:t>落实全面从严治党主体责任和监督责任，在“严”的主基调下抓实党风廉政建设，深入开展检察队伍教育整顿，打造忠诚干净担当的检察铁军。</w:t>
      </w:r>
    </w:p>
    <w:p>
      <w:pPr>
        <w:keepNext w:val="0"/>
        <w:keepLines w:val="0"/>
        <w:pageBreakBefore w:val="0"/>
        <w:widowControl w:val="0"/>
        <w:kinsoku/>
        <w:wordWrap/>
        <w:overflowPunct/>
        <w:topLinePunct w:val="0"/>
        <w:autoSpaceDE/>
        <w:autoSpaceDN/>
        <w:bidi w:val="0"/>
        <w:adjustRightInd w:val="0"/>
        <w:snapToGrid/>
        <w:spacing w:line="240" w:lineRule="auto"/>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二是</w:t>
      </w:r>
      <w:r>
        <w:rPr>
          <w:rFonts w:hint="eastAsia" w:ascii="仿宋" w:hAnsi="仿宋" w:eastAsia="仿宋" w:cs="仿宋"/>
          <w:color w:val="auto"/>
          <w:sz w:val="32"/>
          <w:szCs w:val="32"/>
          <w:lang w:val="en-US" w:eastAsia="zh-CN"/>
        </w:rPr>
        <w:t>积极参与“平安新丰”建设，维护社会和谐稳定。以扫黑除恶常态化为牵引，严厉打击严重危害社会安全的犯罪活动，切实保障人民生命财产安全。</w:t>
      </w:r>
    </w:p>
    <w:p>
      <w:pPr>
        <w:keepNext w:val="0"/>
        <w:keepLines w:val="0"/>
        <w:pageBreakBefore w:val="0"/>
        <w:widowControl w:val="0"/>
        <w:kinsoku/>
        <w:wordWrap/>
        <w:overflowPunct/>
        <w:topLinePunct w:val="0"/>
        <w:autoSpaceDE/>
        <w:autoSpaceDN/>
        <w:bidi w:val="0"/>
        <w:adjustRightInd w:val="0"/>
        <w:snapToGrid/>
        <w:spacing w:line="240" w:lineRule="auto"/>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三是</w:t>
      </w:r>
      <w:r>
        <w:rPr>
          <w:rFonts w:hint="eastAsia" w:ascii="仿宋" w:hAnsi="仿宋" w:eastAsia="仿宋" w:cs="仿宋"/>
          <w:color w:val="auto"/>
          <w:sz w:val="32"/>
          <w:szCs w:val="32"/>
          <w:lang w:val="en-US" w:eastAsia="zh-CN"/>
        </w:rPr>
        <w:t>及时更新司法理念，以更实举措深耕监督主业。坚持少捕慎捕原则，谨慎适用逮捕措施。落实认罪认罚从宽制度。以公开听证为抓手，加大执法司法监督力度。</w:t>
      </w:r>
    </w:p>
    <w:p>
      <w:pPr>
        <w:keepNext w:val="0"/>
        <w:keepLines w:val="0"/>
        <w:pageBreakBefore w:val="0"/>
        <w:widowControl w:val="0"/>
        <w:kinsoku/>
        <w:wordWrap/>
        <w:overflowPunct/>
        <w:topLinePunct w:val="0"/>
        <w:autoSpaceDE/>
        <w:autoSpaceDN/>
        <w:bidi w:val="0"/>
        <w:adjustRightInd w:val="0"/>
        <w:snapToGrid/>
        <w:spacing w:line="240" w:lineRule="auto"/>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四是</w:t>
      </w:r>
      <w:r>
        <w:rPr>
          <w:rFonts w:hint="eastAsia" w:ascii="仿宋" w:hAnsi="仿宋" w:eastAsia="仿宋" w:cs="仿宋"/>
          <w:color w:val="auto"/>
          <w:sz w:val="32"/>
          <w:szCs w:val="32"/>
          <w:lang w:val="en-US" w:eastAsia="zh-CN"/>
        </w:rPr>
        <w:t>统筹“四大检察”业务，稳妥推进公益诉讼工作，以生态环境和资源保护、食品药品安全、个人信息保护、红色资源保护等社会高度关注的热点领域为工作重点，认真履行检察机关职责，有效凝聚公益保护合力。</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20</w:t>
      </w:r>
      <w:r>
        <w:rPr>
          <w:rFonts w:hint="eastAsia" w:ascii="仿宋" w:hAnsi="仿宋" w:eastAsia="仿宋" w:cs="仿宋"/>
          <w:b w:val="0"/>
          <w:bCs w:val="0"/>
          <w:color w:val="auto"/>
          <w:sz w:val="32"/>
          <w:szCs w:val="32"/>
          <w:highlight w:val="none"/>
          <w:lang w:val="en-US" w:eastAsia="zh-CN"/>
        </w:rPr>
        <w:t>21</w:t>
      </w:r>
      <w:r>
        <w:rPr>
          <w:rFonts w:hint="eastAsia" w:ascii="仿宋" w:hAnsi="仿宋" w:eastAsia="仿宋" w:cs="仿宋"/>
          <w:b w:val="0"/>
          <w:bCs w:val="0"/>
          <w:color w:val="auto"/>
          <w:sz w:val="32"/>
          <w:szCs w:val="32"/>
          <w:highlight w:val="none"/>
          <w:lang w:eastAsia="zh-CN"/>
        </w:rPr>
        <w:t>年，我院将以习近平新时代中国特色社会主义思想为指导，深入贯彻落实党的十九大精神，继续抓好《法治政府建设实施纲要（20</w:t>
      </w:r>
      <w:r>
        <w:rPr>
          <w:rFonts w:hint="eastAsia" w:ascii="仿宋" w:hAnsi="仿宋" w:eastAsia="仿宋" w:cs="仿宋"/>
          <w:b w:val="0"/>
          <w:bCs w:val="0"/>
          <w:color w:val="auto"/>
          <w:sz w:val="32"/>
          <w:szCs w:val="32"/>
          <w:highlight w:val="none"/>
          <w:lang w:val="en-US" w:eastAsia="zh-CN"/>
        </w:rPr>
        <w:t>21</w:t>
      </w:r>
      <w:r>
        <w:rPr>
          <w:rFonts w:hint="eastAsia" w:ascii="仿宋" w:hAnsi="仿宋" w:eastAsia="仿宋" w:cs="仿宋"/>
          <w:b w:val="0"/>
          <w:bCs w:val="0"/>
          <w:color w:val="auto"/>
          <w:sz w:val="32"/>
          <w:szCs w:val="32"/>
          <w:highlight w:val="none"/>
          <w:lang w:eastAsia="zh-CN"/>
        </w:rPr>
        <w:t>-202</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lang w:eastAsia="zh-CN"/>
        </w:rPr>
        <w:t>年）》各项任务的贯彻落实，积极</w:t>
      </w:r>
      <w:r>
        <w:rPr>
          <w:rFonts w:hint="eastAsia" w:ascii="仿宋_GB2312" w:hAnsi="仿宋_GB2312" w:eastAsia="仿宋_GB2312" w:cs="仿宋_GB2312"/>
          <w:sz w:val="32"/>
          <w:szCs w:val="32"/>
          <w:lang w:val="en-US" w:eastAsia="zh-CN"/>
        </w:rPr>
        <w:t>履行法律赋予的监督职能，</w:t>
      </w:r>
      <w:r>
        <w:rPr>
          <w:rFonts w:hint="eastAsia" w:ascii="仿宋" w:hAnsi="仿宋" w:eastAsia="仿宋" w:cs="仿宋"/>
          <w:b w:val="0"/>
          <w:bCs w:val="0"/>
          <w:color w:val="auto"/>
          <w:sz w:val="32"/>
          <w:szCs w:val="32"/>
          <w:highlight w:val="none"/>
          <w:lang w:eastAsia="zh-CN"/>
        </w:rPr>
        <w:t>健全各项工作制度，加强执法监督，抓好主责主业，推动法治政府建设取得新成效，</w:t>
      </w:r>
      <w:r>
        <w:rPr>
          <w:rFonts w:hint="eastAsia" w:ascii="仿宋" w:hAnsi="仿宋" w:eastAsia="仿宋" w:cs="仿宋"/>
          <w:color w:val="auto"/>
          <w:sz w:val="32"/>
          <w:szCs w:val="32"/>
          <w:highlight w:val="none"/>
          <w:lang w:eastAsia="zh-CN"/>
        </w:rPr>
        <w:t>推动新丰检察工作上新台阶。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outlineLvl w:val="9"/>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240" w:lineRule="auto"/>
        <w:ind w:left="0" w:leftChars="0" w:right="0" w:rightChars="0" w:firstLine="640" w:firstLineChars="200"/>
        <w:jc w:val="right"/>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新丰县人民检察院    </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240" w:lineRule="auto"/>
        <w:ind w:left="0" w:leftChars="0" w:right="0" w:rightChars="0" w:firstLine="640" w:firstLineChars="200"/>
        <w:jc w:val="right"/>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2022年2月28日    </w:t>
      </w:r>
    </w:p>
    <w:p>
      <w:pPr>
        <w:keepNext w:val="0"/>
        <w:keepLines w:val="0"/>
        <w:pageBreakBefore w:val="0"/>
        <w:widowControl w:val="0"/>
        <w:kinsoku/>
        <w:overflowPunct/>
        <w:topLinePunct w:val="0"/>
        <w:autoSpaceDE/>
        <w:autoSpaceDN/>
        <w:bidi w:val="0"/>
        <w:snapToGrid/>
        <w:spacing w:line="240" w:lineRule="auto"/>
        <w:ind w:firstLine="420" w:firstLineChars="200"/>
        <w:textAlignment w:val="auto"/>
      </w:pPr>
    </w:p>
    <w:sectPr>
      <w:footerReference r:id="rId3" w:type="default"/>
      <w:pgSz w:w="11906" w:h="16838"/>
      <w:pgMar w:top="1417" w:right="1757" w:bottom="141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7BABC9"/>
    <w:multiLevelType w:val="singleLevel"/>
    <w:tmpl w:val="207BAB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E7340"/>
    <w:rsid w:val="009C5578"/>
    <w:rsid w:val="011100B4"/>
    <w:rsid w:val="030B66A0"/>
    <w:rsid w:val="031160CA"/>
    <w:rsid w:val="08EB59F7"/>
    <w:rsid w:val="0C835360"/>
    <w:rsid w:val="1317736A"/>
    <w:rsid w:val="165E2128"/>
    <w:rsid w:val="1BEE24BF"/>
    <w:rsid w:val="1C0E4AC3"/>
    <w:rsid w:val="1E337F5B"/>
    <w:rsid w:val="217C497F"/>
    <w:rsid w:val="21EE16D9"/>
    <w:rsid w:val="223E7340"/>
    <w:rsid w:val="28237656"/>
    <w:rsid w:val="28D26547"/>
    <w:rsid w:val="29157F0A"/>
    <w:rsid w:val="2B87243C"/>
    <w:rsid w:val="2BCC6243"/>
    <w:rsid w:val="2CBE0C97"/>
    <w:rsid w:val="2F492738"/>
    <w:rsid w:val="2FA05B81"/>
    <w:rsid w:val="308F277A"/>
    <w:rsid w:val="312869C5"/>
    <w:rsid w:val="31921BEA"/>
    <w:rsid w:val="32343088"/>
    <w:rsid w:val="33202AF0"/>
    <w:rsid w:val="37CC4BBA"/>
    <w:rsid w:val="399777D2"/>
    <w:rsid w:val="3C105039"/>
    <w:rsid w:val="41D463E6"/>
    <w:rsid w:val="44F10A37"/>
    <w:rsid w:val="46DA51FB"/>
    <w:rsid w:val="47082DD8"/>
    <w:rsid w:val="48633D1A"/>
    <w:rsid w:val="4A4B51E3"/>
    <w:rsid w:val="4C45747D"/>
    <w:rsid w:val="4D46115F"/>
    <w:rsid w:val="552A551C"/>
    <w:rsid w:val="57EB1024"/>
    <w:rsid w:val="590D4437"/>
    <w:rsid w:val="597845CA"/>
    <w:rsid w:val="5DE516C1"/>
    <w:rsid w:val="5ED62C14"/>
    <w:rsid w:val="60F21AE7"/>
    <w:rsid w:val="629C4AE7"/>
    <w:rsid w:val="66B13C16"/>
    <w:rsid w:val="67F23D10"/>
    <w:rsid w:val="6A2F386C"/>
    <w:rsid w:val="6D2A53F1"/>
    <w:rsid w:val="6DA33449"/>
    <w:rsid w:val="6FC9187D"/>
    <w:rsid w:val="706A2834"/>
    <w:rsid w:val="711D57D2"/>
    <w:rsid w:val="71952E9E"/>
    <w:rsid w:val="74190477"/>
    <w:rsid w:val="7571239E"/>
    <w:rsid w:val="7702306E"/>
    <w:rsid w:val="79A025AA"/>
    <w:rsid w:val="7E5561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next w:val="1"/>
    <w:qFormat/>
    <w:uiPriority w:val="0"/>
    <w:pPr>
      <w:widowControl w:val="0"/>
      <w:jc w:val="left"/>
      <w:outlineLvl w:val="0"/>
    </w:pPr>
    <w:rPr>
      <w:rFonts w:hint="eastAsia" w:ascii="宋体" w:hAnsi="宋体" w:eastAsia="宋体" w:cs="Times New Roman"/>
      <w:b/>
      <w:color w:val="333333"/>
      <w:kern w:val="44"/>
      <w:sz w:val="42"/>
      <w:szCs w:val="42"/>
      <w:lang w:val="en-US" w:eastAsia="zh-CN" w:bidi="ar-SA"/>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Body Text"/>
    <w:basedOn w:val="1"/>
    <w:next w:val="1"/>
    <w:qFormat/>
    <w:uiPriority w:val="1"/>
    <w:pPr>
      <w:spacing w:before="45"/>
      <w:ind w:left="111"/>
    </w:pPr>
    <w:rPr>
      <w:rFonts w:ascii="仿宋_GB2312" w:hAnsi="仿宋_GB2312" w:eastAsia="仿宋_GB2312"/>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2">
    <w:name w:val="Strong"/>
    <w:basedOn w:val="11"/>
    <w:qFormat/>
    <w:uiPriority w:val="0"/>
    <w:rPr>
      <w:b/>
    </w:rPr>
  </w:style>
  <w:style w:type="character" w:styleId="13">
    <w:name w:val="FollowedHyperlink"/>
    <w:basedOn w:val="11"/>
    <w:qFormat/>
    <w:uiPriority w:val="0"/>
    <w:rPr>
      <w:color w:val="333333"/>
      <w:u w:val="none"/>
    </w:rPr>
  </w:style>
  <w:style w:type="character" w:styleId="14">
    <w:name w:val="Emphasis"/>
    <w:basedOn w:val="11"/>
    <w:qFormat/>
    <w:uiPriority w:val="0"/>
    <w:rPr>
      <w:i/>
    </w:rPr>
  </w:style>
  <w:style w:type="character" w:styleId="15">
    <w:name w:val="Hyperlink"/>
    <w:basedOn w:val="11"/>
    <w:qFormat/>
    <w:uiPriority w:val="0"/>
    <w:rPr>
      <w:color w:val="333333"/>
      <w:u w:val="none"/>
    </w:rPr>
  </w:style>
  <w:style w:type="character" w:customStyle="1" w:styleId="16">
    <w:name w:val="fs27"/>
    <w:basedOn w:val="11"/>
    <w:qFormat/>
    <w:uiPriority w:val="0"/>
    <w:rPr>
      <w:sz w:val="40"/>
      <w:szCs w:val="40"/>
    </w:rPr>
  </w:style>
  <w:style w:type="character" w:customStyle="1" w:styleId="17">
    <w:name w:val="data"/>
    <w:basedOn w:val="11"/>
    <w:qFormat/>
    <w:uiPriority w:val="0"/>
    <w:rPr>
      <w:rFonts w:ascii="Segoe UI" w:hAnsi="Segoe UI" w:eastAsia="Segoe UI" w:cs="Segoe UI"/>
      <w:color w:val="999999"/>
      <w:sz w:val="21"/>
      <w:szCs w:val="21"/>
    </w:rPr>
  </w:style>
  <w:style w:type="character" w:customStyle="1" w:styleId="18">
    <w:name w:val="fs21"/>
    <w:basedOn w:val="11"/>
    <w:qFormat/>
    <w:uiPriority w:val="0"/>
    <w:rPr>
      <w:sz w:val="31"/>
      <w:szCs w:val="31"/>
    </w:rPr>
  </w:style>
  <w:style w:type="character" w:customStyle="1" w:styleId="19">
    <w:name w:val="fs14"/>
    <w:basedOn w:val="11"/>
    <w:qFormat/>
    <w:uiPriority w:val="0"/>
    <w:rPr>
      <w:sz w:val="21"/>
      <w:szCs w:val="21"/>
    </w:rPr>
  </w:style>
  <w:style w:type="character" w:customStyle="1" w:styleId="20">
    <w:name w:val="fs15"/>
    <w:basedOn w:val="11"/>
    <w:qFormat/>
    <w:uiPriority w:val="0"/>
    <w:rPr>
      <w:sz w:val="22"/>
      <w:szCs w:val="22"/>
    </w:rPr>
  </w:style>
  <w:style w:type="character" w:customStyle="1" w:styleId="21">
    <w:name w:val="fs16"/>
    <w:basedOn w:val="11"/>
    <w:qFormat/>
    <w:uiPriority w:val="0"/>
    <w:rPr>
      <w:sz w:val="24"/>
      <w:szCs w:val="24"/>
    </w:rPr>
  </w:style>
  <w:style w:type="character" w:customStyle="1" w:styleId="22">
    <w:name w:val="fs17"/>
    <w:basedOn w:val="11"/>
    <w:qFormat/>
    <w:uiPriority w:val="0"/>
    <w:rPr>
      <w:sz w:val="25"/>
      <w:szCs w:val="25"/>
    </w:rPr>
  </w:style>
  <w:style w:type="character" w:customStyle="1" w:styleId="23">
    <w:name w:val="fs18"/>
    <w:basedOn w:val="11"/>
    <w:qFormat/>
    <w:uiPriority w:val="0"/>
    <w:rPr>
      <w:sz w:val="27"/>
      <w:szCs w:val="27"/>
    </w:rPr>
  </w:style>
  <w:style w:type="character" w:customStyle="1" w:styleId="24">
    <w:name w:val="fs29"/>
    <w:basedOn w:val="11"/>
    <w:qFormat/>
    <w:uiPriority w:val="0"/>
    <w:rPr>
      <w:sz w:val="43"/>
      <w:szCs w:val="43"/>
    </w:rPr>
  </w:style>
  <w:style w:type="character" w:customStyle="1" w:styleId="25">
    <w:name w:val="fs19"/>
    <w:basedOn w:val="11"/>
    <w:qFormat/>
    <w:uiPriority w:val="0"/>
    <w:rPr>
      <w:sz w:val="28"/>
      <w:szCs w:val="28"/>
    </w:rPr>
  </w:style>
  <w:style w:type="character" w:customStyle="1" w:styleId="26">
    <w:name w:val="fs20"/>
    <w:basedOn w:val="11"/>
    <w:qFormat/>
    <w:uiPriority w:val="0"/>
    <w:rPr>
      <w:sz w:val="30"/>
      <w:szCs w:val="30"/>
    </w:rPr>
  </w:style>
  <w:style w:type="character" w:customStyle="1" w:styleId="27">
    <w:name w:val="fs22"/>
    <w:basedOn w:val="11"/>
    <w:qFormat/>
    <w:uiPriority w:val="0"/>
    <w:rPr>
      <w:sz w:val="33"/>
      <w:szCs w:val="33"/>
    </w:rPr>
  </w:style>
  <w:style w:type="character" w:customStyle="1" w:styleId="28">
    <w:name w:val="fs23"/>
    <w:basedOn w:val="11"/>
    <w:qFormat/>
    <w:uiPriority w:val="0"/>
    <w:rPr>
      <w:sz w:val="34"/>
      <w:szCs w:val="34"/>
    </w:rPr>
  </w:style>
  <w:style w:type="character" w:customStyle="1" w:styleId="29">
    <w:name w:val="fs24"/>
    <w:basedOn w:val="11"/>
    <w:qFormat/>
    <w:uiPriority w:val="0"/>
    <w:rPr>
      <w:sz w:val="36"/>
      <w:szCs w:val="36"/>
    </w:rPr>
  </w:style>
  <w:style w:type="character" w:customStyle="1" w:styleId="30">
    <w:name w:val="fs25"/>
    <w:basedOn w:val="11"/>
    <w:qFormat/>
    <w:uiPriority w:val="0"/>
    <w:rPr>
      <w:sz w:val="37"/>
      <w:szCs w:val="37"/>
    </w:rPr>
  </w:style>
  <w:style w:type="character" w:customStyle="1" w:styleId="31">
    <w:name w:val="fs26"/>
    <w:basedOn w:val="11"/>
    <w:qFormat/>
    <w:uiPriority w:val="0"/>
    <w:rPr>
      <w:sz w:val="39"/>
      <w:szCs w:val="39"/>
    </w:rPr>
  </w:style>
  <w:style w:type="character" w:customStyle="1" w:styleId="32">
    <w:name w:val="fs28"/>
    <w:basedOn w:val="11"/>
    <w:qFormat/>
    <w:uiPriority w:val="0"/>
    <w:rPr>
      <w:sz w:val="42"/>
      <w:szCs w:val="42"/>
    </w:rPr>
  </w:style>
  <w:style w:type="character" w:customStyle="1" w:styleId="33">
    <w:name w:val="fs30"/>
    <w:basedOn w:val="11"/>
    <w:qFormat/>
    <w:uiPriority w:val="0"/>
    <w:rPr>
      <w:sz w:val="45"/>
      <w:szCs w:val="4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2019-11-18T08:00:00Z</dcterms:created>
  <dc:creator>AOI</dc:creator>
  <cp:lastModifiedBy>AOI</cp:lastModifiedBy>
  <cp:lastPrinted>2021-12-17T03:34:00Z</cp:lastPrinted>
  <dcterms:modified xsi:type="dcterms:W3CDTF">2022-02-28T01:40:14Z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133889E95C78409FB9DE5A278749C60E</vt:lpwstr>
  </property>
  <property fmtid="{D5CDD505-2E9C-101B-9397-08002B2CF9AE}" pid="4" name="KSOSaveFontToCloudKey">
    <vt:lpwstr>275405383_btnclosed</vt:lpwstr>
  </property>
</Properties>
</file>